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E1" w:rsidRDefault="00003CE1" w:rsidP="0006067D">
      <w:pPr>
        <w:rPr>
          <w:rFonts w:asciiTheme="minorHAnsi" w:hAnsiTheme="minorHAnsi" w:cs="Arial"/>
          <w:b/>
          <w:sz w:val="28"/>
          <w:szCs w:val="28"/>
        </w:rPr>
      </w:pPr>
      <w:r>
        <w:rPr>
          <w:rFonts w:asciiTheme="minorHAnsi" w:hAnsiTheme="minorHAnsi" w:cs="Arial"/>
          <w:b/>
          <w:sz w:val="28"/>
          <w:szCs w:val="28"/>
        </w:rPr>
        <w:t>PLEASE DO NOT CITE WITHOUT THE AUTHOR</w:t>
      </w:r>
      <w:r w:rsidR="009F1F9F">
        <w:rPr>
          <w:rFonts w:asciiTheme="minorHAnsi" w:hAnsiTheme="minorHAnsi" w:cs="Arial"/>
          <w:b/>
          <w:sz w:val="28"/>
          <w:szCs w:val="28"/>
        </w:rPr>
        <w:t>’</w:t>
      </w:r>
      <w:r>
        <w:rPr>
          <w:rFonts w:asciiTheme="minorHAnsi" w:hAnsiTheme="minorHAnsi" w:cs="Arial"/>
          <w:b/>
          <w:sz w:val="28"/>
          <w:szCs w:val="28"/>
        </w:rPr>
        <w:t>S PERMISSION</w:t>
      </w:r>
    </w:p>
    <w:p w:rsidR="00274592" w:rsidRDefault="00DE5379" w:rsidP="0006067D">
      <w:pPr>
        <w:rPr>
          <w:rFonts w:asciiTheme="minorHAnsi" w:hAnsiTheme="minorHAnsi" w:cs="Arial"/>
          <w:b/>
          <w:sz w:val="28"/>
          <w:szCs w:val="28"/>
        </w:rPr>
      </w:pPr>
      <w:r>
        <w:rPr>
          <w:rFonts w:asciiTheme="minorHAnsi" w:hAnsiTheme="minorHAnsi" w:cs="Arial"/>
          <w:b/>
          <w:sz w:val="28"/>
          <w:szCs w:val="28"/>
        </w:rPr>
        <w:t xml:space="preserve">Paper for </w:t>
      </w:r>
      <w:r w:rsidR="00274592">
        <w:rPr>
          <w:rFonts w:asciiTheme="minorHAnsi" w:hAnsiTheme="minorHAnsi" w:cs="Arial"/>
          <w:b/>
          <w:sz w:val="28"/>
          <w:szCs w:val="28"/>
        </w:rPr>
        <w:t>MARG Conference: Aston University November 19</w:t>
      </w:r>
      <w:r w:rsidR="00274592" w:rsidRPr="00274592">
        <w:rPr>
          <w:rFonts w:asciiTheme="minorHAnsi" w:hAnsiTheme="minorHAnsi" w:cs="Arial"/>
          <w:b/>
          <w:sz w:val="28"/>
          <w:szCs w:val="28"/>
          <w:vertAlign w:val="superscript"/>
        </w:rPr>
        <w:t>th</w:t>
      </w:r>
      <w:r w:rsidR="00274592">
        <w:rPr>
          <w:rFonts w:asciiTheme="minorHAnsi" w:hAnsiTheme="minorHAnsi" w:cs="Arial"/>
          <w:b/>
          <w:sz w:val="28"/>
          <w:szCs w:val="28"/>
        </w:rPr>
        <w:t xml:space="preserve"> and 20</w:t>
      </w:r>
      <w:r w:rsidR="00274592" w:rsidRPr="00274592">
        <w:rPr>
          <w:rFonts w:asciiTheme="minorHAnsi" w:hAnsiTheme="minorHAnsi" w:cs="Arial"/>
          <w:b/>
          <w:sz w:val="28"/>
          <w:szCs w:val="28"/>
          <w:vertAlign w:val="superscript"/>
        </w:rPr>
        <w:t>th</w:t>
      </w:r>
      <w:r w:rsidR="00274592">
        <w:rPr>
          <w:rFonts w:asciiTheme="minorHAnsi" w:hAnsiTheme="minorHAnsi" w:cs="Arial"/>
          <w:b/>
          <w:sz w:val="28"/>
          <w:szCs w:val="28"/>
        </w:rPr>
        <w:t xml:space="preserve"> </w:t>
      </w:r>
    </w:p>
    <w:p w:rsidR="00DE5379" w:rsidRDefault="00DE5379" w:rsidP="0006067D">
      <w:pPr>
        <w:rPr>
          <w:rFonts w:asciiTheme="minorHAnsi" w:hAnsiTheme="minorHAnsi" w:cs="Arial"/>
          <w:b/>
          <w:sz w:val="28"/>
          <w:szCs w:val="28"/>
        </w:rPr>
      </w:pPr>
      <w:bookmarkStart w:id="0" w:name="_GoBack"/>
      <w:proofErr w:type="gramStart"/>
      <w:r>
        <w:rPr>
          <w:rFonts w:asciiTheme="minorHAnsi" w:hAnsiTheme="minorHAnsi" w:cs="Arial"/>
          <w:b/>
          <w:sz w:val="28"/>
          <w:szCs w:val="28"/>
        </w:rPr>
        <w:t>C</w:t>
      </w:r>
      <w:r w:rsidR="00003CE1">
        <w:rPr>
          <w:rFonts w:asciiTheme="minorHAnsi" w:hAnsiTheme="minorHAnsi" w:cs="Arial"/>
          <w:b/>
          <w:sz w:val="28"/>
          <w:szCs w:val="28"/>
        </w:rPr>
        <w:t xml:space="preserve">athy </w:t>
      </w:r>
      <w:r>
        <w:rPr>
          <w:rFonts w:asciiTheme="minorHAnsi" w:hAnsiTheme="minorHAnsi" w:cs="Arial"/>
          <w:b/>
          <w:sz w:val="28"/>
          <w:szCs w:val="28"/>
        </w:rPr>
        <w:t xml:space="preserve"> Knowles</w:t>
      </w:r>
      <w:proofErr w:type="gramEnd"/>
      <w:r>
        <w:rPr>
          <w:rFonts w:asciiTheme="minorHAnsi" w:hAnsiTheme="minorHAnsi" w:cs="Arial"/>
          <w:b/>
          <w:sz w:val="28"/>
          <w:szCs w:val="28"/>
        </w:rPr>
        <w:t xml:space="preserve"> </w:t>
      </w:r>
      <w:r w:rsidR="00003CE1">
        <w:rPr>
          <w:rFonts w:asciiTheme="minorHAnsi" w:hAnsiTheme="minorHAnsi" w:cs="Arial"/>
          <w:b/>
          <w:sz w:val="28"/>
          <w:szCs w:val="28"/>
        </w:rPr>
        <w:t xml:space="preserve"> </w:t>
      </w:r>
      <w:r w:rsidR="00F2670E">
        <w:rPr>
          <w:rFonts w:asciiTheme="minorHAnsi" w:hAnsiTheme="minorHAnsi" w:cs="Arial"/>
          <w:b/>
          <w:sz w:val="28"/>
          <w:szCs w:val="28"/>
        </w:rPr>
        <w:t>(PhD student University of Bristol)</w:t>
      </w:r>
    </w:p>
    <w:p w:rsidR="0006067D" w:rsidRPr="00F75BD6" w:rsidRDefault="00F75BD6" w:rsidP="0006067D">
      <w:pPr>
        <w:rPr>
          <w:rFonts w:asciiTheme="minorHAnsi" w:hAnsiTheme="minorHAnsi" w:cs="Arial"/>
          <w:b/>
          <w:sz w:val="28"/>
          <w:szCs w:val="28"/>
        </w:rPr>
      </w:pPr>
      <w:r>
        <w:rPr>
          <w:rFonts w:asciiTheme="minorHAnsi" w:hAnsiTheme="minorHAnsi" w:cs="Arial"/>
          <w:b/>
          <w:sz w:val="28"/>
          <w:szCs w:val="28"/>
        </w:rPr>
        <w:t>Efficiency and effectiveness</w:t>
      </w:r>
      <w:r w:rsidR="004E3821">
        <w:rPr>
          <w:rFonts w:asciiTheme="minorHAnsi" w:hAnsiTheme="minorHAnsi" w:cs="Arial"/>
          <w:b/>
          <w:sz w:val="28"/>
          <w:szCs w:val="28"/>
        </w:rPr>
        <w:t>: Performance measurement</w:t>
      </w:r>
      <w:r>
        <w:rPr>
          <w:rFonts w:asciiTheme="minorHAnsi" w:hAnsiTheme="minorHAnsi" w:cs="Arial"/>
          <w:b/>
          <w:sz w:val="28"/>
          <w:szCs w:val="28"/>
        </w:rPr>
        <w:t xml:space="preserve"> in</w:t>
      </w:r>
      <w:r w:rsidR="0006067D" w:rsidRPr="00F75BD6">
        <w:rPr>
          <w:rFonts w:asciiTheme="minorHAnsi" w:hAnsiTheme="minorHAnsi" w:cs="Arial"/>
          <w:b/>
          <w:sz w:val="28"/>
          <w:szCs w:val="28"/>
        </w:rPr>
        <w:t xml:space="preserve"> English and Welsh Independent </w:t>
      </w:r>
      <w:r>
        <w:rPr>
          <w:rFonts w:asciiTheme="minorHAnsi" w:hAnsiTheme="minorHAnsi" w:cs="Arial"/>
          <w:b/>
          <w:sz w:val="28"/>
          <w:szCs w:val="28"/>
        </w:rPr>
        <w:t>Hospices.</w:t>
      </w:r>
    </w:p>
    <w:bookmarkEnd w:id="0"/>
    <w:p w:rsidR="00067C9D" w:rsidRPr="004E5C8A" w:rsidRDefault="004E5C8A" w:rsidP="004E5C8A">
      <w:pPr>
        <w:ind w:firstLine="720"/>
        <w:rPr>
          <w:rFonts w:asciiTheme="minorHAnsi" w:hAnsiTheme="minorHAnsi" w:cs="Arial"/>
          <w:sz w:val="24"/>
          <w:szCs w:val="24"/>
        </w:rPr>
      </w:pPr>
      <w:r w:rsidRPr="004E5C8A">
        <w:rPr>
          <w:rFonts w:asciiTheme="minorHAnsi" w:hAnsiTheme="minorHAnsi" w:cs="Arial"/>
          <w:sz w:val="24"/>
          <w:szCs w:val="24"/>
        </w:rPr>
        <w:t>Charities</w:t>
      </w:r>
      <w:r>
        <w:rPr>
          <w:rFonts w:asciiTheme="minorHAnsi" w:hAnsiTheme="minorHAnsi" w:cs="Arial"/>
          <w:sz w:val="24"/>
          <w:szCs w:val="24"/>
        </w:rPr>
        <w:t xml:space="preserve"> are under pressure to account for their performance and independent voluntary hospices in England and Wales are no exception.  The majority of independent hospices receive some funding from statutory sources and are being called upon to provide more performance information for a diminishing proportion of their funding.  There have been calls for hospices to be more </w:t>
      </w:r>
      <w:r w:rsidR="000F76EE">
        <w:rPr>
          <w:rFonts w:asciiTheme="minorHAnsi" w:hAnsiTheme="minorHAnsi" w:cs="Arial"/>
          <w:sz w:val="24"/>
          <w:szCs w:val="24"/>
        </w:rPr>
        <w:t xml:space="preserve">cost effective and the </w:t>
      </w:r>
      <w:r w:rsidR="009F1F9F">
        <w:rPr>
          <w:rFonts w:asciiTheme="minorHAnsi" w:hAnsiTheme="minorHAnsi" w:cs="Arial"/>
          <w:sz w:val="24"/>
          <w:szCs w:val="24"/>
        </w:rPr>
        <w:t xml:space="preserve">National </w:t>
      </w:r>
      <w:r>
        <w:rPr>
          <w:rFonts w:asciiTheme="minorHAnsi" w:hAnsiTheme="minorHAnsi" w:cs="Arial"/>
          <w:sz w:val="24"/>
          <w:szCs w:val="24"/>
        </w:rPr>
        <w:t xml:space="preserve">Palliative Care Funding Review </w:t>
      </w:r>
      <w:r w:rsidR="001C085E">
        <w:rPr>
          <w:rFonts w:asciiTheme="minorHAnsi" w:hAnsiTheme="minorHAnsi" w:cs="Arial"/>
          <w:sz w:val="24"/>
          <w:szCs w:val="24"/>
        </w:rPr>
        <w:t>(</w:t>
      </w:r>
      <w:r w:rsidR="000F76EE">
        <w:rPr>
          <w:rFonts w:asciiTheme="minorHAnsi" w:hAnsiTheme="minorHAnsi" w:cs="Arial"/>
          <w:sz w:val="24"/>
          <w:szCs w:val="24"/>
        </w:rPr>
        <w:t>Hughes-</w:t>
      </w:r>
      <w:proofErr w:type="spellStart"/>
      <w:r w:rsidR="000F76EE">
        <w:rPr>
          <w:rFonts w:asciiTheme="minorHAnsi" w:hAnsiTheme="minorHAnsi" w:cs="Arial"/>
          <w:sz w:val="24"/>
          <w:szCs w:val="24"/>
        </w:rPr>
        <w:t>Hallet</w:t>
      </w:r>
      <w:proofErr w:type="spellEnd"/>
      <w:r w:rsidR="000F76EE">
        <w:rPr>
          <w:rFonts w:asciiTheme="minorHAnsi" w:hAnsiTheme="minorHAnsi" w:cs="Arial"/>
          <w:sz w:val="24"/>
          <w:szCs w:val="24"/>
        </w:rPr>
        <w:t xml:space="preserve"> et al, 2011) </w:t>
      </w:r>
      <w:r>
        <w:rPr>
          <w:rFonts w:asciiTheme="minorHAnsi" w:hAnsiTheme="minorHAnsi" w:cs="Arial"/>
          <w:sz w:val="24"/>
          <w:szCs w:val="24"/>
        </w:rPr>
        <w:t xml:space="preserve">has been considering the feasibility of setting tariffs to pay for </w:t>
      </w:r>
      <w:r w:rsidR="00133E58">
        <w:rPr>
          <w:rFonts w:asciiTheme="minorHAnsi" w:hAnsiTheme="minorHAnsi" w:cs="Arial"/>
          <w:sz w:val="24"/>
          <w:szCs w:val="24"/>
        </w:rPr>
        <w:t xml:space="preserve">specific </w:t>
      </w:r>
      <w:r>
        <w:rPr>
          <w:rFonts w:asciiTheme="minorHAnsi" w:hAnsiTheme="minorHAnsi" w:cs="Arial"/>
          <w:sz w:val="24"/>
          <w:szCs w:val="24"/>
        </w:rPr>
        <w:t xml:space="preserve">hospice services. This research considers how a hospice may be </w:t>
      </w:r>
      <w:r w:rsidR="00C8208F">
        <w:rPr>
          <w:rFonts w:asciiTheme="minorHAnsi" w:hAnsiTheme="minorHAnsi" w:cs="Arial"/>
          <w:sz w:val="24"/>
          <w:szCs w:val="24"/>
        </w:rPr>
        <w:t>best seen</w:t>
      </w:r>
      <w:r>
        <w:rPr>
          <w:rFonts w:asciiTheme="minorHAnsi" w:hAnsiTheme="minorHAnsi" w:cs="Arial"/>
          <w:sz w:val="24"/>
          <w:szCs w:val="24"/>
        </w:rPr>
        <w:t xml:space="preserve"> to be efficient or effective. Research into UK charity accounting </w:t>
      </w:r>
      <w:r w:rsidR="00133E58">
        <w:rPr>
          <w:rFonts w:asciiTheme="minorHAnsi" w:hAnsiTheme="minorHAnsi" w:cs="Arial"/>
          <w:sz w:val="24"/>
          <w:szCs w:val="24"/>
        </w:rPr>
        <w:t xml:space="preserve">has used public sector models to assess how far measures of efficiency and effectiveness have been reported to the Charity Commission. Instead, this research considers how charity accounts may be viewed from a management accounting perspective.  It questions whether efficiency is a meaningful </w:t>
      </w:r>
      <w:proofErr w:type="gramStart"/>
      <w:r w:rsidR="00133E58">
        <w:rPr>
          <w:rFonts w:asciiTheme="minorHAnsi" w:hAnsiTheme="minorHAnsi" w:cs="Arial"/>
          <w:sz w:val="24"/>
          <w:szCs w:val="24"/>
        </w:rPr>
        <w:t>method</w:t>
      </w:r>
      <w:proofErr w:type="gramEnd"/>
      <w:r w:rsidR="00133E58">
        <w:rPr>
          <w:rFonts w:asciiTheme="minorHAnsi" w:hAnsiTheme="minorHAnsi" w:cs="Arial"/>
          <w:sz w:val="24"/>
          <w:szCs w:val="24"/>
        </w:rPr>
        <w:t xml:space="preserve"> of assessing a hospices’, or indeed a</w:t>
      </w:r>
      <w:r w:rsidR="00C8208F">
        <w:rPr>
          <w:rFonts w:asciiTheme="minorHAnsi" w:hAnsiTheme="minorHAnsi" w:cs="Arial"/>
          <w:sz w:val="24"/>
          <w:szCs w:val="24"/>
        </w:rPr>
        <w:t>ny</w:t>
      </w:r>
      <w:r w:rsidR="00133E58">
        <w:rPr>
          <w:rFonts w:asciiTheme="minorHAnsi" w:hAnsiTheme="minorHAnsi" w:cs="Arial"/>
          <w:sz w:val="24"/>
          <w:szCs w:val="24"/>
        </w:rPr>
        <w:t xml:space="preserve"> charity’s, performance. By employing Ferreira and Otley’s </w:t>
      </w:r>
      <w:r w:rsidR="00002ABE">
        <w:rPr>
          <w:rFonts w:asciiTheme="minorHAnsi" w:hAnsiTheme="minorHAnsi" w:cs="Arial"/>
          <w:sz w:val="24"/>
          <w:szCs w:val="24"/>
        </w:rPr>
        <w:t xml:space="preserve">(2009) </w:t>
      </w:r>
      <w:r w:rsidR="00C8208F">
        <w:rPr>
          <w:rFonts w:asciiTheme="minorHAnsi" w:hAnsiTheme="minorHAnsi" w:cs="Arial"/>
          <w:sz w:val="24"/>
          <w:szCs w:val="24"/>
        </w:rPr>
        <w:t>Performance Management and Control</w:t>
      </w:r>
      <w:r w:rsidR="00133E58">
        <w:rPr>
          <w:rFonts w:asciiTheme="minorHAnsi" w:hAnsiTheme="minorHAnsi" w:cs="Arial"/>
          <w:sz w:val="24"/>
          <w:szCs w:val="24"/>
        </w:rPr>
        <w:t xml:space="preserve"> </w:t>
      </w:r>
      <w:r w:rsidR="00C8208F">
        <w:rPr>
          <w:rFonts w:asciiTheme="minorHAnsi" w:hAnsiTheme="minorHAnsi" w:cs="Arial"/>
          <w:sz w:val="24"/>
          <w:szCs w:val="24"/>
        </w:rPr>
        <w:t>System</w:t>
      </w:r>
      <w:r w:rsidR="004E3821">
        <w:rPr>
          <w:rFonts w:asciiTheme="minorHAnsi" w:hAnsiTheme="minorHAnsi" w:cs="Arial"/>
          <w:sz w:val="24"/>
          <w:szCs w:val="24"/>
        </w:rPr>
        <w:t xml:space="preserve"> (PCMS)</w:t>
      </w:r>
      <w:r w:rsidR="00133E58">
        <w:rPr>
          <w:rFonts w:asciiTheme="minorHAnsi" w:hAnsiTheme="minorHAnsi" w:cs="Arial"/>
          <w:sz w:val="24"/>
          <w:szCs w:val="24"/>
        </w:rPr>
        <w:t xml:space="preserve">, effectiveness </w:t>
      </w:r>
      <w:r w:rsidR="00C8208F">
        <w:rPr>
          <w:rFonts w:asciiTheme="minorHAnsi" w:hAnsiTheme="minorHAnsi" w:cs="Arial"/>
          <w:sz w:val="24"/>
          <w:szCs w:val="24"/>
        </w:rPr>
        <w:t>can be assessed by</w:t>
      </w:r>
      <w:r w:rsidR="00133E58">
        <w:rPr>
          <w:rFonts w:asciiTheme="minorHAnsi" w:hAnsiTheme="minorHAnsi" w:cs="Arial"/>
          <w:sz w:val="24"/>
          <w:szCs w:val="24"/>
        </w:rPr>
        <w:t xml:space="preserve"> consider</w:t>
      </w:r>
      <w:r w:rsidR="00C8208F">
        <w:rPr>
          <w:rFonts w:asciiTheme="minorHAnsi" w:hAnsiTheme="minorHAnsi" w:cs="Arial"/>
          <w:sz w:val="24"/>
          <w:szCs w:val="24"/>
        </w:rPr>
        <w:t>ing</w:t>
      </w:r>
      <w:r w:rsidR="00133E58">
        <w:rPr>
          <w:rFonts w:asciiTheme="minorHAnsi" w:hAnsiTheme="minorHAnsi" w:cs="Arial"/>
          <w:sz w:val="24"/>
          <w:szCs w:val="24"/>
        </w:rPr>
        <w:t xml:space="preserve"> the fulfilment of strategy and achievement of objectives rather than </w:t>
      </w:r>
      <w:r w:rsidR="004E3821">
        <w:rPr>
          <w:rFonts w:asciiTheme="minorHAnsi" w:hAnsiTheme="minorHAnsi" w:cs="Arial"/>
          <w:sz w:val="24"/>
          <w:szCs w:val="24"/>
        </w:rPr>
        <w:t>by using public sector models.</w:t>
      </w:r>
    </w:p>
    <w:p w:rsidR="00067C9D" w:rsidRPr="007862EF" w:rsidRDefault="00067C9D" w:rsidP="00067C9D">
      <w:pPr>
        <w:rPr>
          <w:b/>
          <w:sz w:val="28"/>
          <w:szCs w:val="28"/>
        </w:rPr>
      </w:pPr>
      <w:r w:rsidRPr="007862EF">
        <w:rPr>
          <w:b/>
          <w:sz w:val="28"/>
          <w:szCs w:val="28"/>
        </w:rPr>
        <w:t>External Charity Financial Reporting</w:t>
      </w:r>
    </w:p>
    <w:p w:rsidR="00067C9D" w:rsidRDefault="00067C9D" w:rsidP="00067C9D">
      <w:pPr>
        <w:ind w:firstLine="720"/>
        <w:rPr>
          <w:sz w:val="24"/>
          <w:szCs w:val="24"/>
        </w:rPr>
      </w:pPr>
      <w:r>
        <w:rPr>
          <w:sz w:val="24"/>
          <w:szCs w:val="24"/>
        </w:rPr>
        <w:t>R</w:t>
      </w:r>
      <w:r w:rsidRPr="00E05C80">
        <w:rPr>
          <w:sz w:val="24"/>
          <w:szCs w:val="24"/>
        </w:rPr>
        <w:t xml:space="preserve">esearch into UK charity accounting </w:t>
      </w:r>
      <w:r>
        <w:rPr>
          <w:sz w:val="24"/>
          <w:szCs w:val="24"/>
        </w:rPr>
        <w:t>has been primarily</w:t>
      </w:r>
      <w:r w:rsidRPr="00E05C80">
        <w:rPr>
          <w:sz w:val="24"/>
          <w:szCs w:val="24"/>
        </w:rPr>
        <w:t xml:space="preserve"> concerned wit</w:t>
      </w:r>
      <w:r>
        <w:rPr>
          <w:sz w:val="24"/>
          <w:szCs w:val="24"/>
        </w:rPr>
        <w:t xml:space="preserve">h the discharging of </w:t>
      </w:r>
      <w:r w:rsidRPr="00E05C80">
        <w:rPr>
          <w:sz w:val="24"/>
          <w:szCs w:val="24"/>
        </w:rPr>
        <w:t xml:space="preserve">accountability through external financial reporting. </w:t>
      </w:r>
      <w:r>
        <w:rPr>
          <w:sz w:val="24"/>
          <w:szCs w:val="24"/>
        </w:rPr>
        <w:t xml:space="preserve"> Initially, it reviewed </w:t>
      </w:r>
      <w:r w:rsidRPr="00E05C80">
        <w:rPr>
          <w:sz w:val="24"/>
          <w:szCs w:val="24"/>
        </w:rPr>
        <w:t xml:space="preserve">the level of compliance </w:t>
      </w:r>
      <w:r>
        <w:rPr>
          <w:sz w:val="24"/>
          <w:szCs w:val="24"/>
        </w:rPr>
        <w:t>to</w:t>
      </w:r>
      <w:r w:rsidRPr="00E05C80">
        <w:rPr>
          <w:sz w:val="24"/>
          <w:szCs w:val="24"/>
        </w:rPr>
        <w:t xml:space="preserve"> changing legislation and meeting disclosure requirements</w:t>
      </w:r>
      <w:r>
        <w:rPr>
          <w:sz w:val="24"/>
          <w:szCs w:val="24"/>
        </w:rPr>
        <w:t xml:space="preserve"> (Bird and Morgan-Jones</w:t>
      </w:r>
      <w:proofErr w:type="gramStart"/>
      <w:r>
        <w:rPr>
          <w:sz w:val="24"/>
          <w:szCs w:val="24"/>
        </w:rPr>
        <w:t>,</w:t>
      </w:r>
      <w:r w:rsidRPr="00E05C80">
        <w:rPr>
          <w:sz w:val="24"/>
          <w:szCs w:val="24"/>
        </w:rPr>
        <w:t>198</w:t>
      </w:r>
      <w:r>
        <w:rPr>
          <w:sz w:val="24"/>
          <w:szCs w:val="24"/>
        </w:rPr>
        <w:t>1</w:t>
      </w:r>
      <w:proofErr w:type="gramEnd"/>
      <w:r>
        <w:rPr>
          <w:sz w:val="24"/>
          <w:szCs w:val="24"/>
        </w:rPr>
        <w:t>;</w:t>
      </w:r>
      <w:r w:rsidRPr="007862EF">
        <w:rPr>
          <w:sz w:val="24"/>
          <w:szCs w:val="24"/>
        </w:rPr>
        <w:t xml:space="preserve"> </w:t>
      </w:r>
      <w:r w:rsidRPr="00E05C80">
        <w:rPr>
          <w:sz w:val="24"/>
          <w:szCs w:val="24"/>
        </w:rPr>
        <w:t>Williams and Palmer</w:t>
      </w:r>
      <w:r>
        <w:rPr>
          <w:sz w:val="24"/>
          <w:szCs w:val="24"/>
        </w:rPr>
        <w:t>,</w:t>
      </w:r>
      <w:r w:rsidRPr="00E05C80">
        <w:rPr>
          <w:sz w:val="24"/>
          <w:szCs w:val="24"/>
        </w:rPr>
        <w:t xml:space="preserve"> 1998</w:t>
      </w:r>
      <w:r>
        <w:rPr>
          <w:sz w:val="24"/>
          <w:szCs w:val="24"/>
        </w:rPr>
        <w:t xml:space="preserve">.) To some degree, more recent research continues to investigate how changes to legislation have been translated into practice. Crawford et al (2009) investigated how the governance requirements of the 2005 Statement of Recommended Practice (SORP) had been implemented; Morgan </w:t>
      </w:r>
      <w:r>
        <w:t>and Fletcher</w:t>
      </w:r>
      <w:r>
        <w:rPr>
          <w:sz w:val="24"/>
          <w:szCs w:val="24"/>
        </w:rPr>
        <w:t xml:space="preserve"> (</w:t>
      </w:r>
      <w:r w:rsidRPr="003E590D">
        <w:rPr>
          <w:sz w:val="24"/>
          <w:szCs w:val="24"/>
        </w:rPr>
        <w:t xml:space="preserve">2011) assessed </w:t>
      </w:r>
      <w:r>
        <w:rPr>
          <w:sz w:val="24"/>
          <w:szCs w:val="24"/>
        </w:rPr>
        <w:t>the impact of public benefit regulations. However, charity reporting research has mainly focused on the extent to which user needs are met through statutory reporting. Accountability is considered to be discharged by meeting the information needs of its users. A ‘</w:t>
      </w:r>
      <w:r w:rsidRPr="00E05C80">
        <w:rPr>
          <w:sz w:val="24"/>
          <w:szCs w:val="24"/>
        </w:rPr>
        <w:t xml:space="preserve">relevance gap’ between </w:t>
      </w:r>
      <w:r>
        <w:rPr>
          <w:sz w:val="24"/>
          <w:szCs w:val="24"/>
        </w:rPr>
        <w:t xml:space="preserve">what </w:t>
      </w:r>
      <w:r w:rsidR="009F1F9F">
        <w:rPr>
          <w:sz w:val="24"/>
          <w:szCs w:val="24"/>
        </w:rPr>
        <w:t>is</w:t>
      </w:r>
      <w:r>
        <w:rPr>
          <w:sz w:val="24"/>
          <w:szCs w:val="24"/>
        </w:rPr>
        <w:t xml:space="preserve"> disclosed and what </w:t>
      </w:r>
      <w:r w:rsidRPr="00E05C80">
        <w:rPr>
          <w:sz w:val="24"/>
          <w:szCs w:val="24"/>
        </w:rPr>
        <w:t>users actually want</w:t>
      </w:r>
      <w:r>
        <w:rPr>
          <w:sz w:val="24"/>
          <w:szCs w:val="24"/>
        </w:rPr>
        <w:t xml:space="preserve"> has been investigated throughout the last three decades. Using </w:t>
      </w:r>
      <w:r w:rsidR="00C12426">
        <w:rPr>
          <w:sz w:val="24"/>
          <w:szCs w:val="24"/>
        </w:rPr>
        <w:t>fourteen</w:t>
      </w:r>
      <w:r>
        <w:rPr>
          <w:sz w:val="24"/>
          <w:szCs w:val="24"/>
        </w:rPr>
        <w:t xml:space="preserve"> criteria, content analysis has been carried out on the top 100 fundraising UK charities throughout this period (Hyndman, 1990</w:t>
      </w:r>
      <w:proofErr w:type="gramStart"/>
      <w:r>
        <w:rPr>
          <w:sz w:val="24"/>
          <w:szCs w:val="24"/>
        </w:rPr>
        <w:t>,1991</w:t>
      </w:r>
      <w:proofErr w:type="gramEnd"/>
      <w:r>
        <w:rPr>
          <w:sz w:val="24"/>
          <w:szCs w:val="24"/>
        </w:rPr>
        <w:t>; Connolly and Hyndman, 2003, 2013</w:t>
      </w:r>
      <w:r w:rsidR="003E4E91">
        <w:rPr>
          <w:sz w:val="24"/>
          <w:szCs w:val="24"/>
        </w:rPr>
        <w:t>a</w:t>
      </w:r>
      <w:r>
        <w:rPr>
          <w:sz w:val="24"/>
          <w:szCs w:val="24"/>
        </w:rPr>
        <w:t>.)  In 1990, Hyndman argued that m</w:t>
      </w:r>
      <w:r w:rsidRPr="00E05C80">
        <w:rPr>
          <w:sz w:val="24"/>
          <w:szCs w:val="24"/>
        </w:rPr>
        <w:t>ost of the information sought by the contributors</w:t>
      </w:r>
      <w:r>
        <w:rPr>
          <w:sz w:val="24"/>
          <w:szCs w:val="24"/>
        </w:rPr>
        <w:t xml:space="preserve"> (donors) </w:t>
      </w:r>
      <w:r w:rsidRPr="00E05C80">
        <w:rPr>
          <w:sz w:val="24"/>
          <w:szCs w:val="24"/>
        </w:rPr>
        <w:t xml:space="preserve">was </w:t>
      </w:r>
      <w:r>
        <w:rPr>
          <w:sz w:val="24"/>
          <w:szCs w:val="24"/>
        </w:rPr>
        <w:t xml:space="preserve">performance-related yet charities’ </w:t>
      </w:r>
      <w:r>
        <w:rPr>
          <w:sz w:val="24"/>
          <w:szCs w:val="24"/>
        </w:rPr>
        <w:lastRenderedPageBreak/>
        <w:t xml:space="preserve">annual reports were dominated by financial information.  While this gap has closed considerably, Connolly </w:t>
      </w:r>
      <w:r w:rsidR="001C085E">
        <w:rPr>
          <w:sz w:val="24"/>
          <w:szCs w:val="24"/>
        </w:rPr>
        <w:t>and Hyndman</w:t>
      </w:r>
      <w:r>
        <w:rPr>
          <w:sz w:val="24"/>
          <w:szCs w:val="24"/>
        </w:rPr>
        <w:t xml:space="preserve"> (2013</w:t>
      </w:r>
      <w:r w:rsidR="003E4E91">
        <w:rPr>
          <w:sz w:val="24"/>
          <w:szCs w:val="24"/>
        </w:rPr>
        <w:t>a</w:t>
      </w:r>
      <w:r>
        <w:rPr>
          <w:sz w:val="24"/>
          <w:szCs w:val="24"/>
        </w:rPr>
        <w:t>) c</w:t>
      </w:r>
      <w:r w:rsidR="001C085E">
        <w:rPr>
          <w:sz w:val="24"/>
          <w:szCs w:val="24"/>
        </w:rPr>
        <w:t>oncluded that the relevance of Annual R</w:t>
      </w:r>
      <w:r>
        <w:rPr>
          <w:sz w:val="24"/>
          <w:szCs w:val="24"/>
        </w:rPr>
        <w:t>eports can still be questioned.</w:t>
      </w:r>
      <w:r w:rsidR="003E4E91">
        <w:rPr>
          <w:sz w:val="24"/>
          <w:szCs w:val="24"/>
        </w:rPr>
        <w:t xml:space="preserve"> R</w:t>
      </w:r>
      <w:r w:rsidR="004A33E6">
        <w:rPr>
          <w:sz w:val="24"/>
          <w:szCs w:val="24"/>
        </w:rPr>
        <w:t xml:space="preserve">ecent research has broadened views of accountability by </w:t>
      </w:r>
      <w:r w:rsidR="003E4E91">
        <w:rPr>
          <w:sz w:val="24"/>
          <w:szCs w:val="24"/>
        </w:rPr>
        <w:t xml:space="preserve">considering alternative channels of communication, notably the unaudited Annual Review, and by considering stakeholder theory (Connolly et </w:t>
      </w:r>
      <w:proofErr w:type="gramStart"/>
      <w:r w:rsidR="003E4E91">
        <w:rPr>
          <w:sz w:val="24"/>
          <w:szCs w:val="24"/>
        </w:rPr>
        <w:t>al ,2013</w:t>
      </w:r>
      <w:r w:rsidR="001C085E">
        <w:rPr>
          <w:sz w:val="24"/>
          <w:szCs w:val="24"/>
        </w:rPr>
        <w:t>a</w:t>
      </w:r>
      <w:proofErr w:type="gramEnd"/>
      <w:r w:rsidR="003E4E91">
        <w:rPr>
          <w:sz w:val="24"/>
          <w:szCs w:val="24"/>
        </w:rPr>
        <w:t>, Connolly and Hyndman, 2013</w:t>
      </w:r>
      <w:r w:rsidR="008C6F3D">
        <w:rPr>
          <w:sz w:val="24"/>
          <w:szCs w:val="24"/>
        </w:rPr>
        <w:t>a</w:t>
      </w:r>
      <w:r w:rsidR="003E4E91">
        <w:rPr>
          <w:sz w:val="24"/>
          <w:szCs w:val="24"/>
        </w:rPr>
        <w:t xml:space="preserve">.) </w:t>
      </w:r>
    </w:p>
    <w:p w:rsidR="00C12426" w:rsidRDefault="00067C9D" w:rsidP="00C12426">
      <w:pPr>
        <w:ind w:firstLine="720"/>
        <w:rPr>
          <w:sz w:val="24"/>
          <w:szCs w:val="24"/>
        </w:rPr>
      </w:pPr>
      <w:r>
        <w:rPr>
          <w:sz w:val="24"/>
          <w:szCs w:val="24"/>
        </w:rPr>
        <w:t xml:space="preserve">To meet external user needs, charity accountability models adopted public sector approaches to assess performance accountability. Hyndman (1990) argued that charities should provide ‘higher level’ measures of effectiveness and efficiency to demonstrate performance accountability. </w:t>
      </w:r>
      <w:r w:rsidR="008C6F3D">
        <w:rPr>
          <w:sz w:val="24"/>
          <w:szCs w:val="24"/>
        </w:rPr>
        <w:t>An</w:t>
      </w:r>
      <w:r w:rsidR="00C12426">
        <w:rPr>
          <w:sz w:val="24"/>
          <w:szCs w:val="24"/>
        </w:rPr>
        <w:t xml:space="preserve"> advocated method in voluntary sector literature </w:t>
      </w:r>
      <w:r w:rsidR="003E4E91">
        <w:rPr>
          <w:sz w:val="24"/>
          <w:szCs w:val="24"/>
        </w:rPr>
        <w:t>has been</w:t>
      </w:r>
      <w:r w:rsidR="00C12426" w:rsidRPr="00E72DD2">
        <w:rPr>
          <w:sz w:val="24"/>
          <w:szCs w:val="24"/>
        </w:rPr>
        <w:t xml:space="preserve"> the ‘logic model</w:t>
      </w:r>
      <w:r w:rsidR="00C12426">
        <w:rPr>
          <w:sz w:val="24"/>
          <w:szCs w:val="24"/>
        </w:rPr>
        <w:t>.</w:t>
      </w:r>
      <w:r w:rsidR="00C12426" w:rsidRPr="00E72DD2">
        <w:rPr>
          <w:sz w:val="24"/>
          <w:szCs w:val="24"/>
        </w:rPr>
        <w:t xml:space="preserve">’  Based on public sector models, </w:t>
      </w:r>
      <w:r w:rsidR="00C12426">
        <w:rPr>
          <w:sz w:val="24"/>
          <w:szCs w:val="24"/>
        </w:rPr>
        <w:t>it is</w:t>
      </w:r>
      <w:r w:rsidR="00C12426" w:rsidRPr="00E72DD2">
        <w:rPr>
          <w:sz w:val="24"/>
          <w:szCs w:val="24"/>
        </w:rPr>
        <w:t xml:space="preserve"> designed to measure economy, efficiency and effectiveness</w:t>
      </w:r>
      <w:r w:rsidR="00C12426" w:rsidRPr="00E05C80">
        <w:rPr>
          <w:sz w:val="24"/>
          <w:szCs w:val="24"/>
        </w:rPr>
        <w:t xml:space="preserve"> </w:t>
      </w:r>
      <w:r w:rsidR="00C12426" w:rsidRPr="00DB3F34">
        <w:rPr>
          <w:sz w:val="24"/>
          <w:szCs w:val="24"/>
        </w:rPr>
        <w:t xml:space="preserve">(Kendall and Knapp, 2000; </w:t>
      </w:r>
      <w:r w:rsidR="00C12426">
        <w:rPr>
          <w:sz w:val="24"/>
          <w:szCs w:val="24"/>
        </w:rPr>
        <w:t>Poister</w:t>
      </w:r>
      <w:proofErr w:type="gramStart"/>
      <w:r w:rsidR="00C12426">
        <w:rPr>
          <w:sz w:val="24"/>
          <w:szCs w:val="24"/>
        </w:rPr>
        <w:t>,2003</w:t>
      </w:r>
      <w:proofErr w:type="gramEnd"/>
      <w:r w:rsidR="00C12426">
        <w:rPr>
          <w:sz w:val="24"/>
          <w:szCs w:val="24"/>
        </w:rPr>
        <w:t>; B</w:t>
      </w:r>
      <w:r w:rsidR="00C12426" w:rsidRPr="00DB3F34">
        <w:rPr>
          <w:sz w:val="24"/>
          <w:szCs w:val="24"/>
        </w:rPr>
        <w:t>uckmaster,1999.</w:t>
      </w:r>
      <w:r w:rsidR="00C12426">
        <w:rPr>
          <w:sz w:val="24"/>
          <w:szCs w:val="24"/>
        </w:rPr>
        <w:t xml:space="preserve">) </w:t>
      </w:r>
      <w:r w:rsidR="00C12426" w:rsidRPr="00E05C80">
        <w:rPr>
          <w:sz w:val="24"/>
          <w:szCs w:val="24"/>
        </w:rPr>
        <w:t>Economy measures the cost of acquiring resources or inputs</w:t>
      </w:r>
      <w:r w:rsidR="00C12426">
        <w:rPr>
          <w:sz w:val="24"/>
          <w:szCs w:val="24"/>
        </w:rPr>
        <w:t>;</w:t>
      </w:r>
      <w:r w:rsidR="00C12426" w:rsidRPr="00E05C80">
        <w:rPr>
          <w:sz w:val="24"/>
          <w:szCs w:val="24"/>
        </w:rPr>
        <w:t xml:space="preserve"> </w:t>
      </w:r>
      <w:r w:rsidR="00C12426">
        <w:rPr>
          <w:sz w:val="24"/>
          <w:szCs w:val="24"/>
        </w:rPr>
        <w:t>e</w:t>
      </w:r>
      <w:r w:rsidR="00C12426" w:rsidRPr="00E05C80">
        <w:rPr>
          <w:sz w:val="24"/>
          <w:szCs w:val="24"/>
        </w:rPr>
        <w:t>fficiency assesses outputs in relation to inputs, where outputs are the final product of the program process</w:t>
      </w:r>
      <w:r w:rsidR="00C12426">
        <w:rPr>
          <w:sz w:val="24"/>
          <w:szCs w:val="24"/>
        </w:rPr>
        <w:t xml:space="preserve"> and e</w:t>
      </w:r>
      <w:r w:rsidR="00C12426" w:rsidRPr="00E05C80">
        <w:rPr>
          <w:sz w:val="24"/>
          <w:szCs w:val="24"/>
        </w:rPr>
        <w:t xml:space="preserve">ffectiveness </w:t>
      </w:r>
      <w:r w:rsidR="00C12426">
        <w:rPr>
          <w:sz w:val="24"/>
          <w:szCs w:val="24"/>
        </w:rPr>
        <w:t>measures the</w:t>
      </w:r>
      <w:r w:rsidR="00C12426" w:rsidRPr="00E05C80">
        <w:rPr>
          <w:sz w:val="24"/>
          <w:szCs w:val="24"/>
        </w:rPr>
        <w:t xml:space="preserve"> outputs </w:t>
      </w:r>
      <w:r w:rsidR="00C12426">
        <w:rPr>
          <w:sz w:val="24"/>
          <w:szCs w:val="24"/>
        </w:rPr>
        <w:t>against</w:t>
      </w:r>
      <w:r w:rsidR="00C12426" w:rsidRPr="00E05C80">
        <w:rPr>
          <w:sz w:val="24"/>
          <w:szCs w:val="24"/>
        </w:rPr>
        <w:t xml:space="preserve"> the desired outcomes</w:t>
      </w:r>
      <w:r w:rsidR="00C12426">
        <w:rPr>
          <w:sz w:val="24"/>
          <w:szCs w:val="24"/>
        </w:rPr>
        <w:t xml:space="preserve"> or</w:t>
      </w:r>
      <w:r w:rsidR="00C12426" w:rsidRPr="00E72DD2">
        <w:rPr>
          <w:sz w:val="24"/>
          <w:szCs w:val="24"/>
        </w:rPr>
        <w:t xml:space="preserve"> the longer term consequences</w:t>
      </w:r>
      <w:r w:rsidR="00C12426">
        <w:rPr>
          <w:sz w:val="24"/>
          <w:szCs w:val="24"/>
        </w:rPr>
        <w:t>.</w:t>
      </w:r>
      <w:r w:rsidR="00C12426" w:rsidRPr="00E72DD2">
        <w:rPr>
          <w:sz w:val="24"/>
          <w:szCs w:val="24"/>
        </w:rPr>
        <w:t xml:space="preserve"> </w:t>
      </w:r>
      <w:r w:rsidR="00C12426">
        <w:rPr>
          <w:sz w:val="24"/>
          <w:szCs w:val="24"/>
        </w:rPr>
        <w:t xml:space="preserve">They remain </w:t>
      </w:r>
      <w:r w:rsidR="004E3821">
        <w:rPr>
          <w:sz w:val="24"/>
          <w:szCs w:val="24"/>
        </w:rPr>
        <w:t>a</w:t>
      </w:r>
      <w:r w:rsidR="00C12426">
        <w:rPr>
          <w:sz w:val="24"/>
          <w:szCs w:val="24"/>
        </w:rPr>
        <w:t xml:space="preserve"> preferred method of evaluation </w:t>
      </w:r>
      <w:r w:rsidR="004E3821">
        <w:rPr>
          <w:sz w:val="24"/>
          <w:szCs w:val="24"/>
        </w:rPr>
        <w:t xml:space="preserve">in the voluntary sector </w:t>
      </w:r>
      <w:r w:rsidR="00C12426">
        <w:rPr>
          <w:sz w:val="24"/>
          <w:szCs w:val="24"/>
        </w:rPr>
        <w:t xml:space="preserve">despite their limitations, such as being affected by </w:t>
      </w:r>
      <w:r w:rsidR="00C12426" w:rsidRPr="00E72DD2">
        <w:rPr>
          <w:sz w:val="24"/>
          <w:szCs w:val="24"/>
        </w:rPr>
        <w:t>factors beyond the specific program (Henderson</w:t>
      </w:r>
      <w:r w:rsidR="00C12426">
        <w:rPr>
          <w:sz w:val="24"/>
          <w:szCs w:val="24"/>
        </w:rPr>
        <w:t xml:space="preserve"> et al,</w:t>
      </w:r>
      <w:r w:rsidR="00C12426" w:rsidRPr="00E72DD2">
        <w:rPr>
          <w:sz w:val="24"/>
          <w:szCs w:val="24"/>
        </w:rPr>
        <w:t xml:space="preserve"> 2002) </w:t>
      </w:r>
      <w:r w:rsidR="00C12426">
        <w:rPr>
          <w:sz w:val="24"/>
          <w:szCs w:val="24"/>
        </w:rPr>
        <w:t>and the need</w:t>
      </w:r>
      <w:r w:rsidR="00C12426" w:rsidRPr="00E72DD2">
        <w:rPr>
          <w:sz w:val="24"/>
          <w:szCs w:val="24"/>
        </w:rPr>
        <w:t xml:space="preserve"> to differentiate between time scales as often the impact will be seen long after the program has ceased (</w:t>
      </w:r>
      <w:proofErr w:type="spellStart"/>
      <w:r w:rsidR="00C12426" w:rsidRPr="00E72DD2">
        <w:rPr>
          <w:sz w:val="24"/>
          <w:szCs w:val="24"/>
        </w:rPr>
        <w:t>Buckmaster</w:t>
      </w:r>
      <w:proofErr w:type="spellEnd"/>
      <w:r w:rsidR="00C12426" w:rsidRPr="00E72DD2">
        <w:rPr>
          <w:sz w:val="24"/>
          <w:szCs w:val="24"/>
        </w:rPr>
        <w:t>, 1999</w:t>
      </w:r>
      <w:r w:rsidR="00C12426">
        <w:rPr>
          <w:sz w:val="24"/>
          <w:szCs w:val="24"/>
        </w:rPr>
        <w:t>.</w:t>
      </w:r>
      <w:r w:rsidR="00C12426" w:rsidRPr="00E72DD2">
        <w:rPr>
          <w:sz w:val="24"/>
          <w:szCs w:val="24"/>
        </w:rPr>
        <w:t>)</w:t>
      </w:r>
      <w:r w:rsidR="00C12426">
        <w:rPr>
          <w:sz w:val="24"/>
          <w:szCs w:val="24"/>
        </w:rPr>
        <w:t xml:space="preserve"> </w:t>
      </w:r>
      <w:r w:rsidR="003E4E91">
        <w:rPr>
          <w:sz w:val="24"/>
          <w:szCs w:val="24"/>
        </w:rPr>
        <w:t xml:space="preserve">More recently, funders </w:t>
      </w:r>
      <w:r w:rsidR="008C6F3D">
        <w:rPr>
          <w:sz w:val="24"/>
          <w:szCs w:val="24"/>
        </w:rPr>
        <w:t xml:space="preserve">and academics </w:t>
      </w:r>
      <w:r w:rsidR="003E4E91">
        <w:rPr>
          <w:sz w:val="24"/>
          <w:szCs w:val="24"/>
        </w:rPr>
        <w:t>have called for more reporting of impacts and outcomes within the Trustee</w:t>
      </w:r>
      <w:r w:rsidR="008C6F3D">
        <w:rPr>
          <w:sz w:val="24"/>
          <w:szCs w:val="24"/>
        </w:rPr>
        <w:t>s’</w:t>
      </w:r>
      <w:r w:rsidR="003E4E91">
        <w:rPr>
          <w:sz w:val="24"/>
          <w:szCs w:val="24"/>
        </w:rPr>
        <w:t xml:space="preserve"> Annual Reports (Connolly </w:t>
      </w:r>
      <w:r w:rsidR="001C085E">
        <w:rPr>
          <w:sz w:val="24"/>
          <w:szCs w:val="24"/>
        </w:rPr>
        <w:t xml:space="preserve">et al, </w:t>
      </w:r>
      <w:r w:rsidR="003E4E91">
        <w:rPr>
          <w:sz w:val="24"/>
          <w:szCs w:val="24"/>
        </w:rPr>
        <w:t>2013</w:t>
      </w:r>
      <w:r w:rsidR="008C6F3D">
        <w:rPr>
          <w:sz w:val="24"/>
          <w:szCs w:val="24"/>
        </w:rPr>
        <w:t>a</w:t>
      </w:r>
      <w:r w:rsidR="003E4E91">
        <w:rPr>
          <w:sz w:val="24"/>
          <w:szCs w:val="24"/>
        </w:rPr>
        <w:t xml:space="preserve">.) </w:t>
      </w:r>
    </w:p>
    <w:p w:rsidR="00067C9D" w:rsidRDefault="00C12426" w:rsidP="00067C9D">
      <w:pPr>
        <w:ind w:firstLine="720"/>
        <w:rPr>
          <w:sz w:val="24"/>
          <w:szCs w:val="24"/>
        </w:rPr>
      </w:pPr>
      <w:r>
        <w:rPr>
          <w:sz w:val="24"/>
          <w:szCs w:val="24"/>
        </w:rPr>
        <w:t xml:space="preserve">Hyndman </w:t>
      </w:r>
      <w:r w:rsidR="004A33E6">
        <w:rPr>
          <w:sz w:val="24"/>
          <w:szCs w:val="24"/>
        </w:rPr>
        <w:t xml:space="preserve">(1990) </w:t>
      </w:r>
      <w:r>
        <w:rPr>
          <w:sz w:val="24"/>
          <w:szCs w:val="24"/>
        </w:rPr>
        <w:t>found that c</w:t>
      </w:r>
      <w:r w:rsidR="00067C9D">
        <w:rPr>
          <w:sz w:val="24"/>
          <w:szCs w:val="24"/>
        </w:rPr>
        <w:t>ontributors considered efficiency to be the 5</w:t>
      </w:r>
      <w:r w:rsidR="00067C9D" w:rsidRPr="00C377A6">
        <w:rPr>
          <w:sz w:val="24"/>
          <w:szCs w:val="24"/>
          <w:vertAlign w:val="superscript"/>
        </w:rPr>
        <w:t>th</w:t>
      </w:r>
      <w:r w:rsidR="00067C9D">
        <w:rPr>
          <w:sz w:val="24"/>
          <w:szCs w:val="24"/>
        </w:rPr>
        <w:t xml:space="preserve"> most important information requirement but was ranked 12</w:t>
      </w:r>
      <w:r w:rsidR="00067C9D" w:rsidRPr="00C377A6">
        <w:rPr>
          <w:sz w:val="24"/>
          <w:szCs w:val="24"/>
          <w:vertAlign w:val="superscript"/>
        </w:rPr>
        <w:t>th</w:t>
      </w:r>
      <w:r w:rsidR="00067C9D">
        <w:rPr>
          <w:sz w:val="24"/>
          <w:szCs w:val="24"/>
        </w:rPr>
        <w:t xml:space="preserve"> in terms of actual information disclosure in charity accounts. Connolly and Hyndman (2003) concluded that charity performance reporting was significantly poorer than in the public sector while finding a reduction in reporting efficiency measures, compared to 1997. Analysis in 2009 by Connolly and Dhanani investigated the impact of the 2005 SORP, designed to improve performance accountability through narrative reporting in the new Trustee</w:t>
      </w:r>
      <w:r w:rsidR="001C085E">
        <w:rPr>
          <w:sz w:val="24"/>
          <w:szCs w:val="24"/>
        </w:rPr>
        <w:t>s</w:t>
      </w:r>
      <w:r w:rsidR="008C6F3D">
        <w:rPr>
          <w:sz w:val="24"/>
          <w:szCs w:val="24"/>
        </w:rPr>
        <w:t>’</w:t>
      </w:r>
      <w:r w:rsidR="00067C9D">
        <w:rPr>
          <w:sz w:val="24"/>
          <w:szCs w:val="24"/>
        </w:rPr>
        <w:t xml:space="preserve"> Annual Report</w:t>
      </w:r>
      <w:r w:rsidR="00C8208F">
        <w:rPr>
          <w:sz w:val="24"/>
          <w:szCs w:val="24"/>
        </w:rPr>
        <w:t xml:space="preserve"> (TAR)</w:t>
      </w:r>
      <w:r w:rsidR="00067C9D">
        <w:rPr>
          <w:sz w:val="24"/>
          <w:szCs w:val="24"/>
        </w:rPr>
        <w:t xml:space="preserve">. Using a framework defining fiduciary, financial managerial and operational managerial accountabilities, they concluded there was again a weakening accountability as 51% of the </w:t>
      </w:r>
      <w:r w:rsidR="001C085E">
        <w:rPr>
          <w:sz w:val="24"/>
          <w:szCs w:val="24"/>
        </w:rPr>
        <w:t>A</w:t>
      </w:r>
      <w:r w:rsidR="00067C9D">
        <w:rPr>
          <w:sz w:val="24"/>
          <w:szCs w:val="24"/>
        </w:rPr>
        <w:t>nnual</w:t>
      </w:r>
      <w:r w:rsidR="001C085E">
        <w:rPr>
          <w:sz w:val="24"/>
          <w:szCs w:val="24"/>
        </w:rPr>
        <w:t xml:space="preserve"> R</w:t>
      </w:r>
      <w:r w:rsidR="00067C9D">
        <w:rPr>
          <w:sz w:val="24"/>
          <w:szCs w:val="24"/>
        </w:rPr>
        <w:t>eports had neither an efficiency nor an effectiveness measure. Research in 2013</w:t>
      </w:r>
      <w:r w:rsidR="009F1F9F">
        <w:rPr>
          <w:sz w:val="24"/>
          <w:szCs w:val="24"/>
        </w:rPr>
        <w:t>,</w:t>
      </w:r>
      <w:r w:rsidR="00067C9D">
        <w:rPr>
          <w:sz w:val="24"/>
          <w:szCs w:val="24"/>
        </w:rPr>
        <w:t xml:space="preserve"> compar</w:t>
      </w:r>
      <w:r w:rsidR="009F1F9F">
        <w:rPr>
          <w:sz w:val="24"/>
          <w:szCs w:val="24"/>
        </w:rPr>
        <w:t>ing</w:t>
      </w:r>
      <w:r w:rsidR="00067C9D">
        <w:rPr>
          <w:sz w:val="24"/>
          <w:szCs w:val="24"/>
        </w:rPr>
        <w:t xml:space="preserve"> the use of efficiency and effectiveness measures using the same criteria as the original 1990 Hyndman research, show</w:t>
      </w:r>
      <w:r w:rsidR="009F1F9F">
        <w:rPr>
          <w:sz w:val="24"/>
          <w:szCs w:val="24"/>
        </w:rPr>
        <w:t>ed</w:t>
      </w:r>
      <w:r w:rsidR="00067C9D">
        <w:rPr>
          <w:sz w:val="24"/>
          <w:szCs w:val="24"/>
        </w:rPr>
        <w:t xml:space="preserve"> improvement but again levels of efficiency reporting were low. </w:t>
      </w:r>
      <w:r w:rsidR="008C6F3D">
        <w:rPr>
          <w:sz w:val="24"/>
          <w:szCs w:val="24"/>
        </w:rPr>
        <w:t xml:space="preserve">  While in 1990 outputs were only reported by 29% of top 100 charities, this has improved substantially to </w:t>
      </w:r>
      <w:r w:rsidR="001C085E">
        <w:rPr>
          <w:sz w:val="24"/>
          <w:szCs w:val="24"/>
        </w:rPr>
        <w:t>85% reporting outputs in their Annual R</w:t>
      </w:r>
      <w:r w:rsidR="008C6F3D">
        <w:rPr>
          <w:sz w:val="24"/>
          <w:szCs w:val="24"/>
        </w:rPr>
        <w:t xml:space="preserve">eports and 94% in their Annual Reviews. However, measures of efficiency have only improved from 2% in 1990 to  22% in Annual </w:t>
      </w:r>
      <w:r w:rsidR="001C085E">
        <w:rPr>
          <w:sz w:val="24"/>
          <w:szCs w:val="24"/>
        </w:rPr>
        <w:t>R</w:t>
      </w:r>
      <w:r w:rsidR="008C6F3D">
        <w:rPr>
          <w:sz w:val="24"/>
          <w:szCs w:val="24"/>
        </w:rPr>
        <w:t>eports and 25% in Annual Reviews in 2013 (Connolly and Hyndman,2013</w:t>
      </w:r>
      <w:r w:rsidR="001C085E">
        <w:rPr>
          <w:sz w:val="24"/>
          <w:szCs w:val="24"/>
        </w:rPr>
        <w:t>a</w:t>
      </w:r>
      <w:r w:rsidR="008C6F3D">
        <w:rPr>
          <w:sz w:val="24"/>
          <w:szCs w:val="24"/>
        </w:rPr>
        <w:t xml:space="preserve">.) </w:t>
      </w:r>
      <w:r w:rsidR="00067C9D">
        <w:rPr>
          <w:sz w:val="24"/>
          <w:szCs w:val="24"/>
        </w:rPr>
        <w:t>Moreover, the specific measure of % administration costs showed no change over 13 years</w:t>
      </w:r>
      <w:r w:rsidR="00C8208F">
        <w:rPr>
          <w:sz w:val="24"/>
          <w:szCs w:val="24"/>
        </w:rPr>
        <w:t xml:space="preserve"> </w:t>
      </w:r>
      <w:r w:rsidR="00067C9D">
        <w:rPr>
          <w:sz w:val="24"/>
          <w:szCs w:val="24"/>
        </w:rPr>
        <w:t>(</w:t>
      </w:r>
      <w:r w:rsidR="004A33E6">
        <w:rPr>
          <w:sz w:val="24"/>
          <w:szCs w:val="24"/>
        </w:rPr>
        <w:t>Connolly and Hyndman, 2013</w:t>
      </w:r>
      <w:r w:rsidR="001C085E">
        <w:rPr>
          <w:sz w:val="24"/>
          <w:szCs w:val="24"/>
        </w:rPr>
        <w:t>a</w:t>
      </w:r>
      <w:r w:rsidR="009F1F9F">
        <w:rPr>
          <w:sz w:val="24"/>
          <w:szCs w:val="24"/>
        </w:rPr>
        <w:t>.</w:t>
      </w:r>
      <w:r w:rsidR="00067C9D">
        <w:rPr>
          <w:sz w:val="24"/>
          <w:szCs w:val="24"/>
        </w:rPr>
        <w:t>)</w:t>
      </w:r>
    </w:p>
    <w:p w:rsidR="00067C9D" w:rsidRDefault="006045A1" w:rsidP="00067C9D">
      <w:pPr>
        <w:ind w:firstLine="720"/>
        <w:rPr>
          <w:sz w:val="24"/>
          <w:szCs w:val="24"/>
        </w:rPr>
      </w:pPr>
      <w:r>
        <w:rPr>
          <w:sz w:val="24"/>
          <w:szCs w:val="24"/>
        </w:rPr>
        <w:lastRenderedPageBreak/>
        <w:t>C</w:t>
      </w:r>
      <w:r w:rsidR="00067C9D">
        <w:rPr>
          <w:sz w:val="24"/>
          <w:szCs w:val="24"/>
        </w:rPr>
        <w:t xml:space="preserve">harity reporting research has </w:t>
      </w:r>
      <w:r>
        <w:rPr>
          <w:sz w:val="24"/>
          <w:szCs w:val="24"/>
        </w:rPr>
        <w:t xml:space="preserve">thus </w:t>
      </w:r>
      <w:r w:rsidR="00067C9D">
        <w:rPr>
          <w:sz w:val="24"/>
          <w:szCs w:val="24"/>
        </w:rPr>
        <w:t xml:space="preserve">concluded that there is </w:t>
      </w:r>
      <w:r w:rsidR="008C6F3D">
        <w:rPr>
          <w:sz w:val="24"/>
          <w:szCs w:val="24"/>
        </w:rPr>
        <w:t xml:space="preserve">a </w:t>
      </w:r>
      <w:r w:rsidR="00067C9D">
        <w:rPr>
          <w:sz w:val="24"/>
          <w:szCs w:val="24"/>
        </w:rPr>
        <w:t>lack of meaningful operatio</w:t>
      </w:r>
      <w:r w:rsidR="00002ABE">
        <w:rPr>
          <w:sz w:val="24"/>
          <w:szCs w:val="24"/>
        </w:rPr>
        <w:t>nal performance reporting</w:t>
      </w:r>
      <w:r w:rsidR="008C6F3D">
        <w:rPr>
          <w:sz w:val="24"/>
          <w:szCs w:val="24"/>
        </w:rPr>
        <w:t xml:space="preserve"> within statutory returns</w:t>
      </w:r>
      <w:r>
        <w:rPr>
          <w:sz w:val="24"/>
          <w:szCs w:val="24"/>
        </w:rPr>
        <w:t>. However</w:t>
      </w:r>
      <w:r w:rsidR="00002ABE">
        <w:rPr>
          <w:sz w:val="24"/>
          <w:szCs w:val="24"/>
        </w:rPr>
        <w:t>, the 2005</w:t>
      </w:r>
      <w:r w:rsidR="00067C9D">
        <w:rPr>
          <w:sz w:val="24"/>
          <w:szCs w:val="24"/>
        </w:rPr>
        <w:t xml:space="preserve"> </w:t>
      </w:r>
      <w:r w:rsidR="00E57704">
        <w:rPr>
          <w:sz w:val="24"/>
          <w:szCs w:val="24"/>
        </w:rPr>
        <w:t>Statement of Recommended Practice (</w:t>
      </w:r>
      <w:r w:rsidR="00067C9D">
        <w:rPr>
          <w:sz w:val="24"/>
          <w:szCs w:val="24"/>
        </w:rPr>
        <w:t>SORP</w:t>
      </w:r>
      <w:r w:rsidR="00E57704">
        <w:rPr>
          <w:sz w:val="24"/>
          <w:szCs w:val="24"/>
        </w:rPr>
        <w:t>)</w:t>
      </w:r>
      <w:r w:rsidR="00067C9D">
        <w:rPr>
          <w:sz w:val="24"/>
          <w:szCs w:val="24"/>
        </w:rPr>
        <w:t xml:space="preserve"> </w:t>
      </w:r>
      <w:r w:rsidR="001C085E">
        <w:rPr>
          <w:sz w:val="24"/>
          <w:szCs w:val="24"/>
        </w:rPr>
        <w:t xml:space="preserve">(Charity Commission, </w:t>
      </w:r>
      <w:r w:rsidR="00E57704">
        <w:rPr>
          <w:sz w:val="24"/>
          <w:szCs w:val="24"/>
        </w:rPr>
        <w:t>2005</w:t>
      </w:r>
      <w:r w:rsidR="001C085E">
        <w:rPr>
          <w:sz w:val="24"/>
          <w:szCs w:val="24"/>
        </w:rPr>
        <w:t xml:space="preserve">) </w:t>
      </w:r>
      <w:r w:rsidR="00067C9D">
        <w:rPr>
          <w:sz w:val="24"/>
          <w:szCs w:val="24"/>
        </w:rPr>
        <w:t>d</w:t>
      </w:r>
      <w:r w:rsidR="00002ABE">
        <w:rPr>
          <w:sz w:val="24"/>
          <w:szCs w:val="24"/>
        </w:rPr>
        <w:t>id</w:t>
      </w:r>
      <w:r w:rsidR="00067C9D">
        <w:rPr>
          <w:sz w:val="24"/>
          <w:szCs w:val="24"/>
        </w:rPr>
        <w:t xml:space="preserve"> not specify to any great extent what operational performance detail </w:t>
      </w:r>
      <w:r w:rsidR="009F1F9F">
        <w:rPr>
          <w:sz w:val="24"/>
          <w:szCs w:val="24"/>
        </w:rPr>
        <w:t>was</w:t>
      </w:r>
      <w:r w:rsidR="00067C9D">
        <w:rPr>
          <w:sz w:val="24"/>
          <w:szCs w:val="24"/>
        </w:rPr>
        <w:t xml:space="preserve"> required. While fifty pages of the SORP specify the technical accounting detail, there is only just over one page given to stipulating how objectives, achievements and performance should be included in the Trustees</w:t>
      </w:r>
      <w:r w:rsidR="008C6F3D">
        <w:rPr>
          <w:sz w:val="24"/>
          <w:szCs w:val="24"/>
        </w:rPr>
        <w:t>’</w:t>
      </w:r>
      <w:r w:rsidR="00067C9D">
        <w:rPr>
          <w:sz w:val="24"/>
          <w:szCs w:val="24"/>
        </w:rPr>
        <w:t xml:space="preserve"> Annual Report. Guidance on specific measures is limited to:</w:t>
      </w:r>
    </w:p>
    <w:p w:rsidR="00067C9D" w:rsidRDefault="00067C9D" w:rsidP="00067C9D">
      <w:pPr>
        <w:ind w:firstLine="720"/>
        <w:rPr>
          <w:i/>
          <w:sz w:val="24"/>
          <w:szCs w:val="24"/>
        </w:rPr>
      </w:pPr>
      <w:r w:rsidRPr="002437D7">
        <w:rPr>
          <w:i/>
          <w:sz w:val="24"/>
          <w:szCs w:val="24"/>
        </w:rPr>
        <w:t xml:space="preserve"> ’</w:t>
      </w:r>
      <w:r>
        <w:rPr>
          <w:i/>
          <w:sz w:val="24"/>
          <w:szCs w:val="24"/>
        </w:rPr>
        <w:t xml:space="preserve">The </w:t>
      </w:r>
      <w:r w:rsidRPr="002437D7">
        <w:rPr>
          <w:i/>
          <w:sz w:val="24"/>
          <w:szCs w:val="24"/>
        </w:rPr>
        <w:t>r</w:t>
      </w:r>
      <w:r>
        <w:rPr>
          <w:i/>
          <w:sz w:val="24"/>
          <w:szCs w:val="24"/>
        </w:rPr>
        <w:t>e</w:t>
      </w:r>
      <w:r w:rsidRPr="002437D7">
        <w:rPr>
          <w:i/>
          <w:sz w:val="24"/>
          <w:szCs w:val="24"/>
        </w:rPr>
        <w:t>port is likely to provide both qualitative and quantitative information that helps to explain ac</w:t>
      </w:r>
      <w:r>
        <w:rPr>
          <w:i/>
          <w:sz w:val="24"/>
          <w:szCs w:val="24"/>
        </w:rPr>
        <w:t>h</w:t>
      </w:r>
      <w:r w:rsidRPr="002437D7">
        <w:rPr>
          <w:i/>
          <w:sz w:val="24"/>
          <w:szCs w:val="24"/>
        </w:rPr>
        <w:t>iev</w:t>
      </w:r>
      <w:r>
        <w:rPr>
          <w:i/>
          <w:sz w:val="24"/>
          <w:szCs w:val="24"/>
        </w:rPr>
        <w:t>ement and perfor</w:t>
      </w:r>
      <w:r w:rsidRPr="002437D7">
        <w:rPr>
          <w:i/>
          <w:sz w:val="24"/>
          <w:szCs w:val="24"/>
        </w:rPr>
        <w:t>m</w:t>
      </w:r>
      <w:r>
        <w:rPr>
          <w:i/>
          <w:sz w:val="24"/>
          <w:szCs w:val="24"/>
        </w:rPr>
        <w:t xml:space="preserve">ance. </w:t>
      </w:r>
      <w:proofErr w:type="gramStart"/>
      <w:r>
        <w:rPr>
          <w:i/>
          <w:sz w:val="24"/>
          <w:szCs w:val="24"/>
        </w:rPr>
        <w:t xml:space="preserve">It will </w:t>
      </w:r>
      <w:r w:rsidRPr="002437D7">
        <w:rPr>
          <w:i/>
          <w:sz w:val="24"/>
          <w:szCs w:val="24"/>
        </w:rPr>
        <w:t>o</w:t>
      </w:r>
      <w:r>
        <w:rPr>
          <w:i/>
          <w:sz w:val="24"/>
          <w:szCs w:val="24"/>
        </w:rPr>
        <w:t>f</w:t>
      </w:r>
      <w:r w:rsidRPr="002437D7">
        <w:rPr>
          <w:i/>
          <w:sz w:val="24"/>
          <w:szCs w:val="24"/>
        </w:rPr>
        <w:t>ten be helpful to provide indicators, milestones and benchmarks against which the ac</w:t>
      </w:r>
      <w:r>
        <w:rPr>
          <w:i/>
          <w:sz w:val="24"/>
          <w:szCs w:val="24"/>
        </w:rPr>
        <w:t>h</w:t>
      </w:r>
      <w:r w:rsidRPr="002437D7">
        <w:rPr>
          <w:i/>
          <w:sz w:val="24"/>
          <w:szCs w:val="24"/>
        </w:rPr>
        <w:t>i</w:t>
      </w:r>
      <w:r>
        <w:rPr>
          <w:i/>
          <w:sz w:val="24"/>
          <w:szCs w:val="24"/>
        </w:rPr>
        <w:t>e</w:t>
      </w:r>
      <w:r w:rsidRPr="002437D7">
        <w:rPr>
          <w:i/>
          <w:sz w:val="24"/>
          <w:szCs w:val="24"/>
        </w:rPr>
        <w:t>vement of objectives is assessed by the charity</w:t>
      </w:r>
      <w:r>
        <w:rPr>
          <w:i/>
          <w:sz w:val="24"/>
          <w:szCs w:val="24"/>
        </w:rPr>
        <w:t>’ (</w:t>
      </w:r>
      <w:r w:rsidR="00E57704">
        <w:rPr>
          <w:i/>
          <w:sz w:val="24"/>
          <w:szCs w:val="24"/>
        </w:rPr>
        <w:t>Charity Commission, 2005</w:t>
      </w:r>
      <w:r>
        <w:rPr>
          <w:i/>
          <w:sz w:val="24"/>
          <w:szCs w:val="24"/>
        </w:rPr>
        <w:t xml:space="preserve"> p 9.)</w:t>
      </w:r>
      <w:proofErr w:type="gramEnd"/>
    </w:p>
    <w:p w:rsidR="00067C9D" w:rsidRDefault="00067C9D" w:rsidP="00067C9D">
      <w:pPr>
        <w:ind w:firstLine="720"/>
        <w:rPr>
          <w:sz w:val="24"/>
          <w:szCs w:val="24"/>
        </w:rPr>
      </w:pPr>
      <w:r>
        <w:rPr>
          <w:sz w:val="24"/>
          <w:szCs w:val="24"/>
        </w:rPr>
        <w:t>Given the lack of specificity in the SORP guidance and difficulties of measurement,</w:t>
      </w:r>
      <w:r w:rsidR="002510B0">
        <w:rPr>
          <w:sz w:val="24"/>
          <w:szCs w:val="24"/>
        </w:rPr>
        <w:t xml:space="preserve"> it is perhaps not</w:t>
      </w:r>
      <w:r>
        <w:rPr>
          <w:sz w:val="24"/>
          <w:szCs w:val="24"/>
        </w:rPr>
        <w:t xml:space="preserve"> </w:t>
      </w:r>
      <w:r w:rsidR="006045A1">
        <w:rPr>
          <w:sz w:val="24"/>
          <w:szCs w:val="24"/>
        </w:rPr>
        <w:t>surprising that</w:t>
      </w:r>
      <w:r>
        <w:rPr>
          <w:sz w:val="24"/>
          <w:szCs w:val="24"/>
        </w:rPr>
        <w:t xml:space="preserve"> precise, externally set measures such as efficiency and effectiveness </w:t>
      </w:r>
      <w:r w:rsidR="002510B0">
        <w:rPr>
          <w:sz w:val="24"/>
          <w:szCs w:val="24"/>
        </w:rPr>
        <w:t>have not been widely reported.</w:t>
      </w:r>
      <w:r>
        <w:rPr>
          <w:sz w:val="24"/>
          <w:szCs w:val="24"/>
        </w:rPr>
        <w:t xml:space="preserve">  There is, however, a call for holding charities to account for performance against the aims, strategies and objectives </w:t>
      </w:r>
      <w:r w:rsidRPr="00764D16">
        <w:rPr>
          <w:i/>
          <w:sz w:val="24"/>
          <w:szCs w:val="24"/>
        </w:rPr>
        <w:t>that they have set themselves</w:t>
      </w:r>
      <w:r>
        <w:rPr>
          <w:i/>
          <w:sz w:val="24"/>
          <w:szCs w:val="24"/>
        </w:rPr>
        <w:t xml:space="preserve"> </w:t>
      </w:r>
      <w:r w:rsidRPr="007A7238">
        <w:rPr>
          <w:sz w:val="24"/>
          <w:szCs w:val="24"/>
        </w:rPr>
        <w:t>by the Charity Commission.</w:t>
      </w:r>
      <w:r>
        <w:rPr>
          <w:sz w:val="24"/>
          <w:szCs w:val="24"/>
        </w:rPr>
        <w:t xml:space="preserve">  The SORP guidance states that:</w:t>
      </w:r>
    </w:p>
    <w:p w:rsidR="00067C9D" w:rsidRDefault="00067C9D" w:rsidP="00067C9D">
      <w:pPr>
        <w:ind w:firstLine="720"/>
        <w:rPr>
          <w:i/>
          <w:sz w:val="24"/>
          <w:szCs w:val="24"/>
        </w:rPr>
      </w:pPr>
      <w:r w:rsidRPr="00BB54D0">
        <w:rPr>
          <w:i/>
          <w:sz w:val="24"/>
          <w:szCs w:val="24"/>
        </w:rPr>
        <w:t>‘</w:t>
      </w:r>
      <w:proofErr w:type="gramStart"/>
      <w:r w:rsidRPr="00BB54D0">
        <w:rPr>
          <w:i/>
          <w:sz w:val="24"/>
          <w:szCs w:val="24"/>
        </w:rPr>
        <w:t>the</w:t>
      </w:r>
      <w:proofErr w:type="gramEnd"/>
      <w:r w:rsidRPr="00BB54D0">
        <w:rPr>
          <w:i/>
          <w:sz w:val="24"/>
          <w:szCs w:val="24"/>
        </w:rPr>
        <w:t xml:space="preserve"> report (TAR) should help th</w:t>
      </w:r>
      <w:r>
        <w:rPr>
          <w:i/>
          <w:sz w:val="24"/>
          <w:szCs w:val="24"/>
        </w:rPr>
        <w:t>e</w:t>
      </w:r>
      <w:r w:rsidRPr="00BB54D0">
        <w:rPr>
          <w:i/>
          <w:sz w:val="24"/>
          <w:szCs w:val="24"/>
        </w:rPr>
        <w:t xml:space="preserve"> reader under</w:t>
      </w:r>
      <w:r>
        <w:rPr>
          <w:i/>
          <w:sz w:val="24"/>
          <w:szCs w:val="24"/>
        </w:rPr>
        <w:t>s</w:t>
      </w:r>
      <w:r w:rsidRPr="00BB54D0">
        <w:rPr>
          <w:i/>
          <w:sz w:val="24"/>
          <w:szCs w:val="24"/>
        </w:rPr>
        <w:t>t</w:t>
      </w:r>
      <w:r>
        <w:rPr>
          <w:i/>
          <w:sz w:val="24"/>
          <w:szCs w:val="24"/>
        </w:rPr>
        <w:t>a</w:t>
      </w:r>
      <w:r w:rsidRPr="00BB54D0">
        <w:rPr>
          <w:i/>
          <w:sz w:val="24"/>
          <w:szCs w:val="24"/>
        </w:rPr>
        <w:t>nd the aim</w:t>
      </w:r>
      <w:r>
        <w:rPr>
          <w:i/>
          <w:sz w:val="24"/>
          <w:szCs w:val="24"/>
        </w:rPr>
        <w:t>s</w:t>
      </w:r>
      <w:r w:rsidRPr="00BB54D0">
        <w:rPr>
          <w:i/>
          <w:sz w:val="24"/>
          <w:szCs w:val="24"/>
        </w:rPr>
        <w:t xml:space="preserve"> and objectiv</w:t>
      </w:r>
      <w:r>
        <w:rPr>
          <w:i/>
          <w:sz w:val="24"/>
          <w:szCs w:val="24"/>
        </w:rPr>
        <w:t>es set by the charity and the s</w:t>
      </w:r>
      <w:r w:rsidRPr="00BB54D0">
        <w:rPr>
          <w:i/>
          <w:sz w:val="24"/>
          <w:szCs w:val="24"/>
        </w:rPr>
        <w:t>t</w:t>
      </w:r>
      <w:r>
        <w:rPr>
          <w:i/>
          <w:sz w:val="24"/>
          <w:szCs w:val="24"/>
        </w:rPr>
        <w:t>r</w:t>
      </w:r>
      <w:r w:rsidRPr="00BB54D0">
        <w:rPr>
          <w:i/>
          <w:sz w:val="24"/>
          <w:szCs w:val="24"/>
        </w:rPr>
        <w:t>a</w:t>
      </w:r>
      <w:r>
        <w:rPr>
          <w:i/>
          <w:sz w:val="24"/>
          <w:szCs w:val="24"/>
        </w:rPr>
        <w:t>t</w:t>
      </w:r>
      <w:r w:rsidRPr="00BB54D0">
        <w:rPr>
          <w:i/>
          <w:sz w:val="24"/>
          <w:szCs w:val="24"/>
        </w:rPr>
        <w:t>egies and activities undertaken to achieve them</w:t>
      </w:r>
      <w:r>
        <w:rPr>
          <w:i/>
          <w:sz w:val="24"/>
          <w:szCs w:val="24"/>
        </w:rPr>
        <w:t>’ (</w:t>
      </w:r>
      <w:r w:rsidR="00E57704">
        <w:rPr>
          <w:i/>
          <w:sz w:val="24"/>
          <w:szCs w:val="24"/>
        </w:rPr>
        <w:t>Charity Commission</w:t>
      </w:r>
      <w:r>
        <w:rPr>
          <w:i/>
          <w:sz w:val="24"/>
          <w:szCs w:val="24"/>
        </w:rPr>
        <w:t>, 2005 p8.)</w:t>
      </w:r>
    </w:p>
    <w:p w:rsidR="006601FD" w:rsidRDefault="00067C9D" w:rsidP="00300DA6">
      <w:pPr>
        <w:ind w:firstLine="720"/>
        <w:rPr>
          <w:rFonts w:ascii="Arial-BoldMT" w:eastAsiaTheme="minorHAnsi" w:hAnsi="Arial-BoldMT" w:cs="Arial-BoldMT"/>
          <w:b/>
          <w:bCs/>
          <w:color w:val="262626"/>
          <w:sz w:val="24"/>
          <w:szCs w:val="24"/>
        </w:rPr>
      </w:pPr>
      <w:r>
        <w:rPr>
          <w:sz w:val="24"/>
          <w:szCs w:val="24"/>
        </w:rPr>
        <w:t>Connolly et al (2013</w:t>
      </w:r>
      <w:r w:rsidR="001C085E">
        <w:rPr>
          <w:sz w:val="24"/>
          <w:szCs w:val="24"/>
        </w:rPr>
        <w:t>b</w:t>
      </w:r>
      <w:r>
        <w:rPr>
          <w:sz w:val="24"/>
          <w:szCs w:val="24"/>
        </w:rPr>
        <w:t xml:space="preserve"> p51), in their interviews with stakeholders, concluded that ‘the primary impression gained from the interviews is that accountability is believed to be closely associated with demonstrating that the monies received have been  spent in accordance with the aims and objectives of the charity.’ Moreover, the accountability framework used by Connolly and Dhanani (2009) has recently been extended to include ‘strategic accountability’, where disclosure includes their vision and mission; actions and activities as well as results and impact’ (Dhanani and Connolly, 2012.) </w:t>
      </w:r>
      <w:r w:rsidR="006045A1">
        <w:rPr>
          <w:sz w:val="24"/>
          <w:szCs w:val="24"/>
        </w:rPr>
        <w:t xml:space="preserve">The revised </w:t>
      </w:r>
      <w:proofErr w:type="gramStart"/>
      <w:r w:rsidR="006045A1">
        <w:rPr>
          <w:sz w:val="24"/>
          <w:szCs w:val="24"/>
        </w:rPr>
        <w:t>SORP</w:t>
      </w:r>
      <w:r w:rsidR="00300DA6">
        <w:rPr>
          <w:sz w:val="24"/>
          <w:szCs w:val="24"/>
        </w:rPr>
        <w:t>(</w:t>
      </w:r>
      <w:proofErr w:type="gramEnd"/>
      <w:r w:rsidR="00300DA6">
        <w:rPr>
          <w:sz w:val="24"/>
          <w:szCs w:val="24"/>
        </w:rPr>
        <w:t xml:space="preserve">FRS102) for large charities </w:t>
      </w:r>
      <w:r w:rsidR="001C085E">
        <w:rPr>
          <w:sz w:val="24"/>
          <w:szCs w:val="24"/>
        </w:rPr>
        <w:t xml:space="preserve">(Charity Commission, </w:t>
      </w:r>
      <w:r w:rsidR="00300DA6">
        <w:rPr>
          <w:sz w:val="24"/>
          <w:szCs w:val="24"/>
        </w:rPr>
        <w:t>2015</w:t>
      </w:r>
      <w:r w:rsidR="001C085E">
        <w:rPr>
          <w:sz w:val="24"/>
          <w:szCs w:val="24"/>
        </w:rPr>
        <w:t>)</w:t>
      </w:r>
      <w:r w:rsidR="006045A1">
        <w:rPr>
          <w:sz w:val="24"/>
          <w:szCs w:val="24"/>
        </w:rPr>
        <w:t xml:space="preserve"> </w:t>
      </w:r>
      <w:r w:rsidR="001C085E">
        <w:rPr>
          <w:sz w:val="24"/>
          <w:szCs w:val="24"/>
        </w:rPr>
        <w:t xml:space="preserve">which </w:t>
      </w:r>
      <w:r w:rsidR="009F1F9F">
        <w:rPr>
          <w:sz w:val="24"/>
          <w:szCs w:val="24"/>
        </w:rPr>
        <w:t>came into</w:t>
      </w:r>
      <w:r w:rsidR="001C085E">
        <w:rPr>
          <w:sz w:val="24"/>
          <w:szCs w:val="24"/>
        </w:rPr>
        <w:t xml:space="preserve"> effect from January 2015, </w:t>
      </w:r>
      <w:r w:rsidR="006601FD">
        <w:rPr>
          <w:sz w:val="24"/>
          <w:szCs w:val="24"/>
        </w:rPr>
        <w:t xml:space="preserve">is more explicit in </w:t>
      </w:r>
      <w:r w:rsidR="006045A1">
        <w:rPr>
          <w:sz w:val="24"/>
          <w:szCs w:val="24"/>
        </w:rPr>
        <w:t>requir</w:t>
      </w:r>
      <w:r w:rsidR="006601FD">
        <w:rPr>
          <w:sz w:val="24"/>
          <w:szCs w:val="24"/>
        </w:rPr>
        <w:t>ing</w:t>
      </w:r>
      <w:r w:rsidR="006045A1">
        <w:rPr>
          <w:sz w:val="24"/>
          <w:szCs w:val="24"/>
        </w:rPr>
        <w:t xml:space="preserve"> larger charities</w:t>
      </w:r>
      <w:r w:rsidR="006601FD">
        <w:rPr>
          <w:sz w:val="24"/>
          <w:szCs w:val="24"/>
        </w:rPr>
        <w:t xml:space="preserve"> to repor</w:t>
      </w:r>
      <w:r w:rsidR="00EA4728">
        <w:rPr>
          <w:sz w:val="24"/>
          <w:szCs w:val="24"/>
        </w:rPr>
        <w:t>t its obj</w:t>
      </w:r>
      <w:r w:rsidR="001C085E">
        <w:rPr>
          <w:sz w:val="24"/>
          <w:szCs w:val="24"/>
        </w:rPr>
        <w:t>ectives and activities.</w:t>
      </w:r>
    </w:p>
    <w:p w:rsidR="006601FD" w:rsidRPr="006601FD" w:rsidRDefault="006601FD" w:rsidP="0006217A">
      <w:pPr>
        <w:autoSpaceDE w:val="0"/>
        <w:autoSpaceDN w:val="0"/>
        <w:adjustRightInd w:val="0"/>
        <w:spacing w:after="0"/>
        <w:rPr>
          <w:rFonts w:asciiTheme="minorHAnsi" w:eastAsiaTheme="minorHAnsi" w:hAnsiTheme="minorHAnsi" w:cs="Arial"/>
          <w:i/>
          <w:color w:val="262626"/>
        </w:rPr>
      </w:pPr>
      <w:r w:rsidRPr="006601FD">
        <w:rPr>
          <w:rFonts w:ascii="Arial" w:eastAsiaTheme="minorHAnsi" w:hAnsi="Arial" w:cs="Arial"/>
          <w:i/>
          <w:color w:val="262626"/>
        </w:rPr>
        <w:t xml:space="preserve"> </w:t>
      </w:r>
      <w:r w:rsidRPr="006601FD">
        <w:rPr>
          <w:rFonts w:asciiTheme="minorHAnsi" w:eastAsiaTheme="minorHAnsi" w:hAnsiTheme="minorHAnsi" w:cs="Arial"/>
          <w:i/>
          <w:color w:val="262626"/>
        </w:rPr>
        <w:t xml:space="preserve">      ‘Good reporting provides a coherent explanation of the charity’s strategies </w:t>
      </w:r>
      <w:proofErr w:type="gramStart"/>
      <w:r w:rsidRPr="006601FD">
        <w:rPr>
          <w:rFonts w:asciiTheme="minorHAnsi" w:eastAsiaTheme="minorHAnsi" w:hAnsiTheme="minorHAnsi" w:cs="Arial"/>
          <w:i/>
          <w:color w:val="262626"/>
        </w:rPr>
        <w:t>for  achieving</w:t>
      </w:r>
      <w:proofErr w:type="gramEnd"/>
      <w:r w:rsidRPr="006601FD">
        <w:rPr>
          <w:rFonts w:asciiTheme="minorHAnsi" w:eastAsiaTheme="minorHAnsi" w:hAnsiTheme="minorHAnsi" w:cs="Arial"/>
          <w:i/>
          <w:color w:val="262626"/>
        </w:rPr>
        <w:t xml:space="preserve"> its aims and objectives and explains how the activities it undertook  contributed to their achievement. In particular, the report of larger charities must </w:t>
      </w:r>
      <w:proofErr w:type="gramStart"/>
      <w:r w:rsidRPr="006601FD">
        <w:rPr>
          <w:rFonts w:asciiTheme="minorHAnsi" w:eastAsiaTheme="minorHAnsi" w:hAnsiTheme="minorHAnsi" w:cs="Arial"/>
          <w:i/>
          <w:color w:val="262626"/>
        </w:rPr>
        <w:t>provide  an</w:t>
      </w:r>
      <w:proofErr w:type="gramEnd"/>
      <w:r w:rsidRPr="006601FD">
        <w:rPr>
          <w:rFonts w:asciiTheme="minorHAnsi" w:eastAsiaTheme="minorHAnsi" w:hAnsiTheme="minorHAnsi" w:cs="Arial"/>
          <w:i/>
          <w:color w:val="262626"/>
        </w:rPr>
        <w:t xml:space="preserve"> explanation of:</w:t>
      </w:r>
      <w:r w:rsidRPr="006601FD">
        <w:rPr>
          <w:rFonts w:asciiTheme="minorHAnsi" w:eastAsiaTheme="minorHAnsi" w:hAnsiTheme="minorHAnsi" w:cs="Arial"/>
          <w:i/>
          <w:color w:val="9CFA26"/>
        </w:rPr>
        <w:t xml:space="preserve">• </w:t>
      </w:r>
      <w:r w:rsidRPr="006601FD">
        <w:rPr>
          <w:rFonts w:asciiTheme="minorHAnsi" w:eastAsiaTheme="minorHAnsi" w:hAnsiTheme="minorHAnsi" w:cs="Arial"/>
          <w:i/>
          <w:color w:val="262626"/>
        </w:rPr>
        <w:t>its aims, including details of the issues it seeks to tackle and the changes or differences it seeks to make through its activities;</w:t>
      </w:r>
    </w:p>
    <w:p w:rsidR="006601FD" w:rsidRDefault="006601FD" w:rsidP="0006217A">
      <w:pPr>
        <w:autoSpaceDE w:val="0"/>
        <w:autoSpaceDN w:val="0"/>
        <w:adjustRightInd w:val="0"/>
        <w:spacing w:after="0"/>
        <w:rPr>
          <w:rFonts w:ascii="ArialMT" w:eastAsiaTheme="minorHAnsi" w:hAnsi="ArialMT" w:cs="ArialMT"/>
          <w:i/>
          <w:color w:val="262626"/>
        </w:rPr>
      </w:pPr>
      <w:r w:rsidRPr="006601FD">
        <w:rPr>
          <w:rFonts w:asciiTheme="minorHAnsi" w:eastAsiaTheme="minorHAnsi" w:hAnsiTheme="minorHAnsi" w:cs="Arial"/>
          <w:i/>
          <w:color w:val="9CFA26"/>
        </w:rPr>
        <w:t xml:space="preserve">• </w:t>
      </w:r>
      <w:proofErr w:type="gramStart"/>
      <w:r w:rsidRPr="006601FD">
        <w:rPr>
          <w:rFonts w:asciiTheme="minorHAnsi" w:eastAsiaTheme="minorHAnsi" w:hAnsiTheme="minorHAnsi" w:cs="Arial"/>
          <w:i/>
          <w:color w:val="262626"/>
        </w:rPr>
        <w:t>how</w:t>
      </w:r>
      <w:proofErr w:type="gramEnd"/>
      <w:r w:rsidRPr="006601FD">
        <w:rPr>
          <w:rFonts w:asciiTheme="minorHAnsi" w:eastAsiaTheme="minorHAnsi" w:hAnsiTheme="minorHAnsi" w:cs="Arial"/>
          <w:i/>
          <w:color w:val="262626"/>
        </w:rPr>
        <w:t xml:space="preserve"> the achievement of its aims will further its legal purposes;</w:t>
      </w:r>
      <w:r w:rsidRPr="006601FD">
        <w:rPr>
          <w:rFonts w:asciiTheme="minorHAnsi" w:eastAsiaTheme="minorHAnsi" w:hAnsiTheme="minorHAnsi" w:cs="ArialMT"/>
          <w:color w:val="9CFA26"/>
        </w:rPr>
        <w:t xml:space="preserve">• </w:t>
      </w:r>
      <w:r w:rsidRPr="006601FD">
        <w:rPr>
          <w:rFonts w:asciiTheme="minorHAnsi" w:eastAsiaTheme="minorHAnsi" w:hAnsiTheme="minorHAnsi" w:cs="ArialMT"/>
          <w:i/>
          <w:color w:val="262626"/>
        </w:rPr>
        <w:t>its strategies for achieving its stated aims and objectives;</w:t>
      </w:r>
      <w:r w:rsidRPr="006601FD">
        <w:rPr>
          <w:rFonts w:asciiTheme="minorHAnsi" w:eastAsiaTheme="minorHAnsi" w:hAnsiTheme="minorHAnsi" w:cs="ArialMT"/>
          <w:i/>
          <w:color w:val="9CFA26"/>
        </w:rPr>
        <w:t xml:space="preserve"> </w:t>
      </w:r>
      <w:r w:rsidRPr="006601FD">
        <w:rPr>
          <w:rFonts w:asciiTheme="minorHAnsi" w:eastAsiaTheme="minorHAnsi" w:hAnsiTheme="minorHAnsi" w:cs="ArialMT"/>
          <w:i/>
          <w:color w:val="262626"/>
        </w:rPr>
        <w:t>the criteria or measures it uses to assess success in the reporting period;</w:t>
      </w:r>
      <w:r w:rsidRPr="006601FD">
        <w:rPr>
          <w:rFonts w:asciiTheme="minorHAnsi" w:eastAsiaTheme="minorHAnsi" w:hAnsiTheme="minorHAnsi" w:cs="ArialMT"/>
          <w:color w:val="262626"/>
        </w:rPr>
        <w:t xml:space="preserve"> </w:t>
      </w:r>
      <w:r w:rsidRPr="006601FD">
        <w:rPr>
          <w:rFonts w:asciiTheme="minorHAnsi" w:eastAsiaTheme="minorHAnsi" w:hAnsiTheme="minorHAnsi" w:cs="ArialMT"/>
          <w:i/>
          <w:color w:val="262626"/>
        </w:rPr>
        <w:t>and</w:t>
      </w:r>
      <w:r w:rsidRPr="006601FD">
        <w:rPr>
          <w:rFonts w:asciiTheme="minorHAnsi" w:eastAsiaTheme="minorHAnsi" w:hAnsiTheme="minorHAnsi" w:cs="ArialMT"/>
          <w:i/>
          <w:color w:val="9CFA26"/>
        </w:rPr>
        <w:t xml:space="preserve">• </w:t>
      </w:r>
      <w:r w:rsidRPr="006601FD">
        <w:rPr>
          <w:rFonts w:asciiTheme="minorHAnsi" w:eastAsiaTheme="minorHAnsi" w:hAnsiTheme="minorHAnsi" w:cs="ArialMT"/>
          <w:i/>
          <w:color w:val="262626"/>
        </w:rPr>
        <w:t>the significant activities undertaken (including its main programmes, projects or</w:t>
      </w:r>
      <w:r>
        <w:rPr>
          <w:rFonts w:asciiTheme="minorHAnsi" w:eastAsiaTheme="minorHAnsi" w:hAnsiTheme="minorHAnsi" w:cs="ArialMT"/>
          <w:i/>
          <w:color w:val="262626"/>
        </w:rPr>
        <w:t xml:space="preserve"> </w:t>
      </w:r>
      <w:r w:rsidRPr="006601FD">
        <w:rPr>
          <w:rFonts w:asciiTheme="minorHAnsi" w:eastAsiaTheme="minorHAnsi" w:hAnsiTheme="minorHAnsi" w:cs="ArialMT"/>
          <w:i/>
          <w:color w:val="262626"/>
        </w:rPr>
        <w:t>services provided), explaining how they contribute to the achievement of its stated</w:t>
      </w:r>
      <w:r>
        <w:rPr>
          <w:rFonts w:asciiTheme="minorHAnsi" w:eastAsiaTheme="minorHAnsi" w:hAnsiTheme="minorHAnsi" w:cs="ArialMT"/>
          <w:i/>
          <w:color w:val="262626"/>
        </w:rPr>
        <w:t xml:space="preserve"> </w:t>
      </w:r>
      <w:r w:rsidRPr="006601FD">
        <w:rPr>
          <w:rFonts w:asciiTheme="minorHAnsi" w:eastAsiaTheme="minorHAnsi" w:hAnsiTheme="minorHAnsi" w:cs="ArialMT"/>
          <w:i/>
          <w:color w:val="262626"/>
        </w:rPr>
        <w:t>aims and objectives</w:t>
      </w:r>
      <w:r w:rsidRPr="006601FD">
        <w:rPr>
          <w:rFonts w:ascii="ArialMT" w:eastAsiaTheme="minorHAnsi" w:hAnsi="ArialMT" w:cs="ArialMT"/>
          <w:i/>
          <w:color w:val="262626"/>
        </w:rPr>
        <w:t>.</w:t>
      </w:r>
      <w:r w:rsidR="00EA4728">
        <w:rPr>
          <w:rFonts w:ascii="ArialMT" w:eastAsiaTheme="minorHAnsi" w:hAnsi="ArialMT" w:cs="ArialMT"/>
          <w:i/>
          <w:color w:val="262626"/>
        </w:rPr>
        <w:t xml:space="preserve"> </w:t>
      </w:r>
      <w:r w:rsidRPr="001C085E">
        <w:rPr>
          <w:rFonts w:asciiTheme="minorHAnsi" w:eastAsiaTheme="minorHAnsi" w:hAnsiTheme="minorHAnsi" w:cs="Arial"/>
          <w:color w:val="262626"/>
        </w:rPr>
        <w:t>(</w:t>
      </w:r>
      <w:r w:rsidR="001C085E" w:rsidRPr="001C085E">
        <w:rPr>
          <w:rFonts w:asciiTheme="minorHAnsi" w:eastAsiaTheme="minorHAnsi" w:hAnsiTheme="minorHAnsi" w:cs="Arial"/>
          <w:color w:val="262626"/>
        </w:rPr>
        <w:t>Charity Commission,</w:t>
      </w:r>
      <w:r w:rsidR="001C085E">
        <w:rPr>
          <w:rFonts w:asciiTheme="minorHAnsi" w:eastAsiaTheme="minorHAnsi" w:hAnsiTheme="minorHAnsi" w:cs="Arial"/>
          <w:color w:val="262626"/>
        </w:rPr>
        <w:t xml:space="preserve"> </w:t>
      </w:r>
      <w:r w:rsidR="00300DA6">
        <w:rPr>
          <w:rFonts w:asciiTheme="minorHAnsi" w:eastAsiaTheme="minorHAnsi" w:hAnsiTheme="minorHAnsi" w:cs="Arial"/>
          <w:color w:val="262626"/>
        </w:rPr>
        <w:t>2015</w:t>
      </w:r>
      <w:r w:rsidRPr="001C085E">
        <w:rPr>
          <w:rFonts w:asciiTheme="minorHAnsi" w:eastAsiaTheme="minorHAnsi" w:hAnsiTheme="minorHAnsi" w:cs="Arial"/>
          <w:color w:val="262626"/>
        </w:rPr>
        <w:t>)</w:t>
      </w:r>
    </w:p>
    <w:p w:rsidR="00EA4728" w:rsidRDefault="00EA4728" w:rsidP="00EA4728">
      <w:pPr>
        <w:autoSpaceDE w:val="0"/>
        <w:autoSpaceDN w:val="0"/>
        <w:adjustRightInd w:val="0"/>
        <w:spacing w:after="0" w:line="240" w:lineRule="auto"/>
        <w:rPr>
          <w:sz w:val="24"/>
          <w:szCs w:val="24"/>
        </w:rPr>
      </w:pPr>
    </w:p>
    <w:p w:rsidR="00067C9D" w:rsidRDefault="006045A1" w:rsidP="00067C9D">
      <w:pPr>
        <w:ind w:firstLine="720"/>
        <w:rPr>
          <w:sz w:val="24"/>
          <w:szCs w:val="24"/>
        </w:rPr>
      </w:pPr>
      <w:r>
        <w:rPr>
          <w:sz w:val="24"/>
          <w:szCs w:val="24"/>
        </w:rPr>
        <w:lastRenderedPageBreak/>
        <w:t xml:space="preserve"> </w:t>
      </w:r>
      <w:r w:rsidR="00067C9D">
        <w:rPr>
          <w:sz w:val="24"/>
          <w:szCs w:val="24"/>
        </w:rPr>
        <w:t xml:space="preserve">This is clearly underpinned by management accounting theory which requires the alignment of mission or aims to strategy, objectives and achievements.  Rather than looking for efficiency and effectiveness measures, </w:t>
      </w:r>
      <w:r w:rsidR="002510B0">
        <w:rPr>
          <w:sz w:val="24"/>
          <w:szCs w:val="24"/>
        </w:rPr>
        <w:t xml:space="preserve">as defined by the public sector logic model, </w:t>
      </w:r>
      <w:r w:rsidR="00067C9D">
        <w:rPr>
          <w:sz w:val="24"/>
          <w:szCs w:val="24"/>
        </w:rPr>
        <w:t xml:space="preserve">this research investigates how </w:t>
      </w:r>
      <w:r w:rsidR="002510B0">
        <w:rPr>
          <w:sz w:val="24"/>
          <w:szCs w:val="24"/>
        </w:rPr>
        <w:t>effectively</w:t>
      </w:r>
      <w:r w:rsidR="00067C9D">
        <w:rPr>
          <w:sz w:val="24"/>
          <w:szCs w:val="24"/>
        </w:rPr>
        <w:t xml:space="preserve"> hospices align their performance to their declared aims and strategies.  </w:t>
      </w:r>
      <w:r w:rsidR="00002ABE">
        <w:rPr>
          <w:sz w:val="24"/>
          <w:szCs w:val="24"/>
        </w:rPr>
        <w:t xml:space="preserve">One part of the </w:t>
      </w:r>
      <w:r w:rsidR="009F1F9F">
        <w:rPr>
          <w:sz w:val="24"/>
          <w:szCs w:val="24"/>
        </w:rPr>
        <w:t>recent</w:t>
      </w:r>
      <w:r w:rsidR="00002ABE">
        <w:rPr>
          <w:sz w:val="24"/>
          <w:szCs w:val="24"/>
        </w:rPr>
        <w:t xml:space="preserve"> reporting regime enables the analysis to be carried out easily. The Summary information Return (SIR) </w:t>
      </w:r>
      <w:r w:rsidR="001C085E">
        <w:rPr>
          <w:sz w:val="24"/>
          <w:szCs w:val="24"/>
        </w:rPr>
        <w:t xml:space="preserve">has </w:t>
      </w:r>
      <w:r w:rsidR="00002ABE">
        <w:rPr>
          <w:sz w:val="24"/>
          <w:szCs w:val="24"/>
        </w:rPr>
        <w:t>require</w:t>
      </w:r>
      <w:r w:rsidR="001C085E">
        <w:rPr>
          <w:sz w:val="24"/>
          <w:szCs w:val="24"/>
        </w:rPr>
        <w:t>d</w:t>
      </w:r>
      <w:r w:rsidR="00002ABE">
        <w:rPr>
          <w:sz w:val="24"/>
          <w:szCs w:val="24"/>
        </w:rPr>
        <w:t xml:space="preserve"> </w:t>
      </w:r>
      <w:r w:rsidR="009B0EC8">
        <w:rPr>
          <w:sz w:val="24"/>
          <w:szCs w:val="24"/>
        </w:rPr>
        <w:t xml:space="preserve">some </w:t>
      </w:r>
      <w:r w:rsidR="00002ABE">
        <w:rPr>
          <w:sz w:val="24"/>
          <w:szCs w:val="24"/>
        </w:rPr>
        <w:t>charities to provide answer</w:t>
      </w:r>
      <w:r w:rsidR="009B0EC8">
        <w:rPr>
          <w:sz w:val="24"/>
          <w:szCs w:val="24"/>
        </w:rPr>
        <w:t>s</w:t>
      </w:r>
      <w:r w:rsidR="00002ABE">
        <w:rPr>
          <w:sz w:val="24"/>
          <w:szCs w:val="24"/>
        </w:rPr>
        <w:t xml:space="preserve"> to questions very akin to that of a model derived from </w:t>
      </w:r>
      <w:r w:rsidR="002510B0">
        <w:rPr>
          <w:sz w:val="24"/>
          <w:szCs w:val="24"/>
        </w:rPr>
        <w:t>m</w:t>
      </w:r>
      <w:r w:rsidR="00002ABE">
        <w:rPr>
          <w:sz w:val="24"/>
          <w:szCs w:val="24"/>
        </w:rPr>
        <w:t xml:space="preserve">anagement </w:t>
      </w:r>
      <w:r w:rsidR="002510B0">
        <w:rPr>
          <w:sz w:val="24"/>
          <w:szCs w:val="24"/>
        </w:rPr>
        <w:t>a</w:t>
      </w:r>
      <w:r w:rsidR="00002ABE">
        <w:rPr>
          <w:sz w:val="24"/>
          <w:szCs w:val="24"/>
        </w:rPr>
        <w:t>ccounting theory by Ferreira and Otley (2009).</w:t>
      </w:r>
    </w:p>
    <w:p w:rsidR="009B0EC8" w:rsidRPr="00067C9D" w:rsidRDefault="009B0EC8" w:rsidP="009B0EC8">
      <w:pPr>
        <w:rPr>
          <w:rFonts w:cs="Arial"/>
          <w:b/>
          <w:sz w:val="28"/>
          <w:szCs w:val="28"/>
        </w:rPr>
      </w:pPr>
      <w:r w:rsidRPr="00067C9D">
        <w:rPr>
          <w:b/>
          <w:sz w:val="28"/>
          <w:szCs w:val="28"/>
        </w:rPr>
        <w:t>The Summary Information Return</w:t>
      </w:r>
    </w:p>
    <w:p w:rsidR="00C12426" w:rsidRDefault="009B0EC8" w:rsidP="00314EE9">
      <w:pPr>
        <w:spacing w:after="0"/>
        <w:ind w:firstLine="720"/>
        <w:rPr>
          <w:sz w:val="24"/>
          <w:szCs w:val="24"/>
        </w:rPr>
      </w:pPr>
      <w:r w:rsidRPr="006C49B1">
        <w:rPr>
          <w:rFonts w:asciiTheme="minorHAnsi" w:eastAsia="Times New Roman" w:hAnsiTheme="minorHAnsi" w:cs="Arial"/>
          <w:sz w:val="24"/>
          <w:szCs w:val="24"/>
          <w:lang w:eastAsia="en-GB"/>
        </w:rPr>
        <w:t xml:space="preserve">The Summary Information Return (SIR) has been a requirement for charities with income of over £1m since the Charities Act was passed in 2006. This </w:t>
      </w:r>
      <w:r>
        <w:rPr>
          <w:rFonts w:asciiTheme="minorHAnsi" w:eastAsia="Times New Roman" w:hAnsiTheme="minorHAnsi" w:cs="Arial"/>
          <w:sz w:val="24"/>
          <w:szCs w:val="24"/>
          <w:lang w:eastAsia="en-GB"/>
        </w:rPr>
        <w:t xml:space="preserve">was part of the wider reform of charity accounting (SORP 2005), </w:t>
      </w:r>
      <w:r w:rsidRPr="006C49B1">
        <w:rPr>
          <w:rFonts w:asciiTheme="minorHAnsi" w:eastAsia="Times New Roman" w:hAnsiTheme="minorHAnsi" w:cs="Arial"/>
          <w:sz w:val="24"/>
          <w:szCs w:val="24"/>
          <w:lang w:eastAsia="en-GB"/>
        </w:rPr>
        <w:t>follow</w:t>
      </w:r>
      <w:r>
        <w:rPr>
          <w:rFonts w:asciiTheme="minorHAnsi" w:eastAsia="Times New Roman" w:hAnsiTheme="minorHAnsi" w:cs="Arial"/>
          <w:sz w:val="24"/>
          <w:szCs w:val="24"/>
          <w:lang w:eastAsia="en-GB"/>
        </w:rPr>
        <w:t>ing</w:t>
      </w:r>
      <w:r w:rsidRPr="006C49B1">
        <w:rPr>
          <w:rFonts w:asciiTheme="minorHAnsi" w:eastAsia="Times New Roman" w:hAnsiTheme="minorHAnsi" w:cs="Arial"/>
          <w:sz w:val="24"/>
          <w:szCs w:val="24"/>
          <w:lang w:eastAsia="en-GB"/>
        </w:rPr>
        <w:t xml:space="preserve"> recommendations in a government report ‘Private action, Public benefit’ (</w:t>
      </w:r>
      <w:r w:rsidR="006E2CD9">
        <w:rPr>
          <w:rFonts w:asciiTheme="minorHAnsi" w:eastAsia="Times New Roman" w:hAnsiTheme="minorHAnsi" w:cs="Arial"/>
          <w:sz w:val="24"/>
          <w:szCs w:val="24"/>
          <w:lang w:eastAsia="en-GB"/>
        </w:rPr>
        <w:t>Cabinet Office</w:t>
      </w:r>
      <w:r w:rsidRPr="006C49B1">
        <w:rPr>
          <w:rFonts w:asciiTheme="minorHAnsi" w:eastAsia="Times New Roman" w:hAnsiTheme="minorHAnsi" w:cs="Arial"/>
          <w:sz w:val="24"/>
          <w:szCs w:val="24"/>
          <w:lang w:eastAsia="en-GB"/>
        </w:rPr>
        <w:t>, 2002</w:t>
      </w:r>
      <w:r>
        <w:rPr>
          <w:rFonts w:asciiTheme="minorHAnsi" w:eastAsia="Times New Roman" w:hAnsiTheme="minorHAnsi" w:cs="Arial"/>
          <w:sz w:val="24"/>
          <w:szCs w:val="24"/>
          <w:lang w:eastAsia="en-GB"/>
        </w:rPr>
        <w:t>.</w:t>
      </w:r>
      <w:r w:rsidRPr="006C49B1">
        <w:rPr>
          <w:rFonts w:asciiTheme="minorHAnsi" w:eastAsia="Times New Roman" w:hAnsiTheme="minorHAnsi" w:cs="Arial"/>
          <w:sz w:val="24"/>
          <w:szCs w:val="24"/>
          <w:lang w:eastAsia="en-GB"/>
        </w:rPr>
        <w:t xml:space="preserve">) The SIR </w:t>
      </w:r>
      <w:r>
        <w:rPr>
          <w:rFonts w:asciiTheme="minorHAnsi" w:eastAsia="Times New Roman" w:hAnsiTheme="minorHAnsi" w:cs="Arial"/>
          <w:sz w:val="24"/>
          <w:szCs w:val="24"/>
          <w:lang w:eastAsia="en-GB"/>
        </w:rPr>
        <w:t>was a part of the aspiration to p</w:t>
      </w:r>
      <w:r w:rsidRPr="006C49B1">
        <w:rPr>
          <w:rFonts w:asciiTheme="minorHAnsi" w:eastAsia="Times New Roman" w:hAnsiTheme="minorHAnsi" w:cs="Arial"/>
          <w:sz w:val="24"/>
          <w:szCs w:val="24"/>
          <w:lang w:eastAsia="en-GB"/>
        </w:rPr>
        <w:t>rov</w:t>
      </w:r>
      <w:r>
        <w:rPr>
          <w:rFonts w:asciiTheme="minorHAnsi" w:eastAsia="Times New Roman" w:hAnsiTheme="minorHAnsi" w:cs="Arial"/>
          <w:sz w:val="24"/>
          <w:szCs w:val="24"/>
          <w:lang w:eastAsia="en-GB"/>
        </w:rPr>
        <w:t>ide</w:t>
      </w:r>
      <w:r w:rsidRPr="006C49B1">
        <w:rPr>
          <w:rFonts w:asciiTheme="minorHAnsi" w:eastAsia="Times New Roman" w:hAnsiTheme="minorHAnsi" w:cs="Arial"/>
          <w:sz w:val="24"/>
          <w:szCs w:val="24"/>
          <w:lang w:eastAsia="en-GB"/>
        </w:rPr>
        <w:t xml:space="preserve"> high quality information </w:t>
      </w:r>
      <w:r>
        <w:rPr>
          <w:rFonts w:asciiTheme="minorHAnsi" w:eastAsia="Times New Roman" w:hAnsiTheme="minorHAnsi" w:cs="Arial"/>
          <w:sz w:val="24"/>
          <w:szCs w:val="24"/>
          <w:lang w:eastAsia="en-GB"/>
        </w:rPr>
        <w:t xml:space="preserve">that was </w:t>
      </w:r>
      <w:r w:rsidRPr="006C49B1">
        <w:rPr>
          <w:rFonts w:asciiTheme="minorHAnsi" w:eastAsia="Times New Roman" w:hAnsiTheme="minorHAnsi" w:cs="Arial"/>
          <w:sz w:val="24"/>
          <w:szCs w:val="24"/>
          <w:lang w:eastAsia="en-GB"/>
        </w:rPr>
        <w:t>accessible and independent to the general public</w:t>
      </w:r>
      <w:r>
        <w:rPr>
          <w:rFonts w:asciiTheme="minorHAnsi" w:eastAsia="Times New Roman" w:hAnsiTheme="minorHAnsi" w:cs="Arial"/>
          <w:sz w:val="24"/>
          <w:szCs w:val="24"/>
          <w:lang w:eastAsia="en-GB"/>
        </w:rPr>
        <w:t>, thus</w:t>
      </w:r>
      <w:r w:rsidRPr="006C49B1">
        <w:rPr>
          <w:rFonts w:asciiTheme="minorHAnsi" w:eastAsia="Times New Roman" w:hAnsiTheme="minorHAnsi" w:cs="Arial"/>
          <w:sz w:val="24"/>
          <w:szCs w:val="24"/>
          <w:lang w:eastAsia="en-GB"/>
        </w:rPr>
        <w:t xml:space="preserve"> maintaining </w:t>
      </w:r>
      <w:r>
        <w:rPr>
          <w:rFonts w:asciiTheme="minorHAnsi" w:eastAsia="Times New Roman" w:hAnsiTheme="minorHAnsi" w:cs="Arial"/>
          <w:sz w:val="24"/>
          <w:szCs w:val="24"/>
          <w:lang w:eastAsia="en-GB"/>
        </w:rPr>
        <w:t>their</w:t>
      </w:r>
      <w:r w:rsidRPr="006C49B1">
        <w:rPr>
          <w:rFonts w:asciiTheme="minorHAnsi" w:eastAsia="Times New Roman" w:hAnsiTheme="minorHAnsi" w:cs="Arial"/>
          <w:sz w:val="24"/>
          <w:szCs w:val="24"/>
          <w:lang w:eastAsia="en-GB"/>
        </w:rPr>
        <w:t xml:space="preserve"> goodwill, trust and confidence</w:t>
      </w:r>
      <w:r>
        <w:rPr>
          <w:rFonts w:asciiTheme="minorHAnsi" w:eastAsia="Times New Roman" w:hAnsiTheme="minorHAnsi" w:cs="Arial"/>
          <w:sz w:val="24"/>
          <w:szCs w:val="24"/>
          <w:lang w:eastAsia="en-GB"/>
        </w:rPr>
        <w:t>.</w:t>
      </w:r>
      <w:r w:rsidRPr="006C49B1">
        <w:rPr>
          <w:rFonts w:asciiTheme="minorHAnsi" w:eastAsia="Times New Roman" w:hAnsiTheme="minorHAnsi" w:cs="Arial"/>
          <w:sz w:val="24"/>
          <w:szCs w:val="24"/>
          <w:lang w:eastAsia="en-GB"/>
        </w:rPr>
        <w:t xml:space="preserve"> </w:t>
      </w:r>
      <w:r>
        <w:rPr>
          <w:rFonts w:asciiTheme="minorHAnsi" w:eastAsia="Times New Roman" w:hAnsiTheme="minorHAnsi" w:cs="Arial"/>
          <w:sz w:val="24"/>
          <w:szCs w:val="24"/>
          <w:lang w:eastAsia="en-GB"/>
        </w:rPr>
        <w:t xml:space="preserve"> It enabled</w:t>
      </w:r>
      <w:r w:rsidRPr="006C49B1">
        <w:rPr>
          <w:rFonts w:asciiTheme="minorHAnsi" w:eastAsia="Times New Roman" w:hAnsiTheme="minorHAnsi" w:cs="Arial"/>
          <w:sz w:val="24"/>
          <w:szCs w:val="24"/>
          <w:lang w:eastAsia="en-GB"/>
        </w:rPr>
        <w:t xml:space="preserve"> succinct answers to </w:t>
      </w:r>
      <w:r>
        <w:rPr>
          <w:rFonts w:asciiTheme="minorHAnsi" w:eastAsia="Times New Roman" w:hAnsiTheme="minorHAnsi" w:cs="Arial"/>
          <w:sz w:val="24"/>
          <w:szCs w:val="24"/>
          <w:lang w:eastAsia="en-GB"/>
        </w:rPr>
        <w:t xml:space="preserve">be given </w:t>
      </w:r>
      <w:r w:rsidRPr="006C49B1">
        <w:rPr>
          <w:rFonts w:asciiTheme="minorHAnsi" w:eastAsia="Times New Roman" w:hAnsiTheme="minorHAnsi" w:cs="Arial"/>
          <w:sz w:val="24"/>
          <w:szCs w:val="24"/>
          <w:lang w:eastAsia="en-GB"/>
        </w:rPr>
        <w:t>eight standard questions, thereby giving a degree of comparability between charities.</w:t>
      </w:r>
      <w:r>
        <w:rPr>
          <w:rFonts w:asciiTheme="minorHAnsi" w:eastAsia="Times New Roman" w:hAnsiTheme="minorHAnsi" w:cs="Arial"/>
          <w:sz w:val="24"/>
          <w:szCs w:val="24"/>
          <w:lang w:eastAsia="en-GB"/>
        </w:rPr>
        <w:t xml:space="preserve"> </w:t>
      </w:r>
      <w:r w:rsidR="009F1F9F">
        <w:rPr>
          <w:rFonts w:asciiTheme="minorHAnsi" w:eastAsia="Times New Roman" w:hAnsiTheme="minorHAnsi" w:cs="Arial"/>
          <w:sz w:val="24"/>
          <w:szCs w:val="24"/>
          <w:lang w:eastAsia="en-GB"/>
        </w:rPr>
        <w:t>Initial</w:t>
      </w:r>
      <w:r>
        <w:rPr>
          <w:rFonts w:asciiTheme="minorHAnsi" w:eastAsia="Times New Roman" w:hAnsiTheme="minorHAnsi" w:cs="Arial"/>
          <w:sz w:val="24"/>
          <w:szCs w:val="24"/>
          <w:lang w:eastAsia="en-GB"/>
        </w:rPr>
        <w:t xml:space="preserve"> </w:t>
      </w:r>
      <w:r w:rsidRPr="006C49B1">
        <w:rPr>
          <w:rFonts w:asciiTheme="minorHAnsi" w:eastAsiaTheme="minorHAnsi" w:hAnsiTheme="minorHAnsi" w:cs="Arial"/>
          <w:sz w:val="24"/>
          <w:szCs w:val="24"/>
        </w:rPr>
        <w:t xml:space="preserve">government </w:t>
      </w:r>
      <w:r w:rsidR="00583778">
        <w:rPr>
          <w:rFonts w:asciiTheme="minorHAnsi" w:eastAsiaTheme="minorHAnsi" w:hAnsiTheme="minorHAnsi" w:cs="Arial"/>
          <w:sz w:val="24"/>
          <w:szCs w:val="24"/>
        </w:rPr>
        <w:t>research into</w:t>
      </w:r>
      <w:r w:rsidRPr="006C49B1">
        <w:rPr>
          <w:rFonts w:asciiTheme="minorHAnsi" w:eastAsiaTheme="minorHAnsi" w:hAnsiTheme="minorHAnsi" w:cs="Arial"/>
          <w:sz w:val="24"/>
          <w:szCs w:val="24"/>
        </w:rPr>
        <w:t xml:space="preserve"> how charities had responded to the </w:t>
      </w:r>
      <w:proofErr w:type="gramStart"/>
      <w:r w:rsidRPr="006C49B1">
        <w:rPr>
          <w:rFonts w:asciiTheme="minorHAnsi" w:eastAsiaTheme="minorHAnsi" w:hAnsiTheme="minorHAnsi" w:cs="Arial"/>
          <w:sz w:val="24"/>
          <w:szCs w:val="24"/>
        </w:rPr>
        <w:t>SIR  was</w:t>
      </w:r>
      <w:proofErr w:type="gramEnd"/>
      <w:r w:rsidRPr="006C49B1">
        <w:rPr>
          <w:rFonts w:asciiTheme="minorHAnsi" w:eastAsiaTheme="minorHAnsi" w:hAnsiTheme="minorHAnsi" w:cs="Arial"/>
          <w:sz w:val="24"/>
          <w:szCs w:val="24"/>
        </w:rPr>
        <w:t xml:space="preserve"> inconclusive. This qualitative analysis of 130 forms </w:t>
      </w:r>
      <w:r w:rsidR="00EA4728">
        <w:rPr>
          <w:rFonts w:asciiTheme="minorHAnsi" w:eastAsiaTheme="minorHAnsi" w:hAnsiTheme="minorHAnsi" w:cs="Arial"/>
          <w:sz w:val="24"/>
          <w:szCs w:val="24"/>
        </w:rPr>
        <w:t>stated</w:t>
      </w:r>
      <w:r w:rsidRPr="006C49B1">
        <w:rPr>
          <w:rFonts w:asciiTheme="minorHAnsi" w:eastAsiaTheme="minorHAnsi" w:hAnsiTheme="minorHAnsi" w:cs="Arial"/>
          <w:sz w:val="24"/>
          <w:szCs w:val="24"/>
        </w:rPr>
        <w:t xml:space="preserve"> that ‘the forms sampled for this report have clearly shown that some responses showcase charities’ work well, others less well</w:t>
      </w:r>
      <w:r>
        <w:rPr>
          <w:rFonts w:asciiTheme="minorHAnsi" w:eastAsiaTheme="minorHAnsi" w:hAnsiTheme="minorHAnsi" w:cs="Arial"/>
          <w:sz w:val="24"/>
          <w:szCs w:val="24"/>
        </w:rPr>
        <w:t xml:space="preserve"> (Charity </w:t>
      </w:r>
      <w:r w:rsidRPr="006C49B1">
        <w:rPr>
          <w:rFonts w:asciiTheme="minorHAnsi" w:eastAsiaTheme="minorHAnsi" w:hAnsiTheme="minorHAnsi" w:cs="Arial"/>
          <w:sz w:val="24"/>
          <w:szCs w:val="24"/>
        </w:rPr>
        <w:t>Commission, 2006</w:t>
      </w:r>
      <w:r>
        <w:rPr>
          <w:rFonts w:asciiTheme="minorHAnsi" w:eastAsiaTheme="minorHAnsi" w:hAnsiTheme="minorHAnsi" w:cs="Arial"/>
          <w:sz w:val="24"/>
          <w:szCs w:val="24"/>
        </w:rPr>
        <w:t xml:space="preserve"> p22.</w:t>
      </w:r>
      <w:r w:rsidRPr="006C49B1">
        <w:rPr>
          <w:rFonts w:asciiTheme="minorHAnsi" w:eastAsiaTheme="minorHAnsi" w:hAnsiTheme="minorHAnsi" w:cs="Arial"/>
          <w:sz w:val="24"/>
          <w:szCs w:val="24"/>
        </w:rPr>
        <w:t xml:space="preserve">) </w:t>
      </w:r>
      <w:r w:rsidR="009F1F9F">
        <w:rPr>
          <w:rFonts w:asciiTheme="minorHAnsi" w:eastAsiaTheme="minorHAnsi" w:hAnsiTheme="minorHAnsi" w:cs="Arial"/>
          <w:sz w:val="24"/>
          <w:szCs w:val="24"/>
        </w:rPr>
        <w:t>However,</w:t>
      </w:r>
      <w:r w:rsidR="00583778">
        <w:rPr>
          <w:rFonts w:asciiTheme="minorHAnsi" w:eastAsiaTheme="minorHAnsi" w:hAnsiTheme="minorHAnsi" w:cs="Arial"/>
          <w:sz w:val="24"/>
          <w:szCs w:val="24"/>
        </w:rPr>
        <w:t xml:space="preserve"> </w:t>
      </w:r>
      <w:r w:rsidRPr="006C49B1">
        <w:rPr>
          <w:rFonts w:asciiTheme="minorHAnsi" w:eastAsiaTheme="minorHAnsi" w:hAnsiTheme="minorHAnsi" w:cs="Arial"/>
          <w:sz w:val="24"/>
          <w:szCs w:val="24"/>
        </w:rPr>
        <w:t xml:space="preserve">Lord Hodgson’s review of the Charities Act </w:t>
      </w:r>
      <w:r w:rsidR="00EA4728">
        <w:rPr>
          <w:rFonts w:asciiTheme="minorHAnsi" w:eastAsiaTheme="minorHAnsi" w:hAnsiTheme="minorHAnsi" w:cs="Arial"/>
          <w:sz w:val="24"/>
          <w:szCs w:val="24"/>
        </w:rPr>
        <w:t xml:space="preserve">(2006) </w:t>
      </w:r>
      <w:r w:rsidRPr="006C49B1">
        <w:rPr>
          <w:rFonts w:asciiTheme="minorHAnsi" w:eastAsiaTheme="minorHAnsi" w:hAnsiTheme="minorHAnsi" w:cs="Arial"/>
          <w:sz w:val="24"/>
          <w:szCs w:val="24"/>
        </w:rPr>
        <w:t>published in 2012</w:t>
      </w:r>
      <w:r w:rsidR="00583778">
        <w:rPr>
          <w:rFonts w:asciiTheme="minorHAnsi" w:eastAsiaTheme="minorHAnsi" w:hAnsiTheme="minorHAnsi" w:cs="Arial"/>
          <w:sz w:val="24"/>
          <w:szCs w:val="24"/>
        </w:rPr>
        <w:t xml:space="preserve"> declare</w:t>
      </w:r>
      <w:r w:rsidR="00EA4728">
        <w:rPr>
          <w:rFonts w:asciiTheme="minorHAnsi" w:eastAsiaTheme="minorHAnsi" w:hAnsiTheme="minorHAnsi" w:cs="Arial"/>
          <w:sz w:val="24"/>
          <w:szCs w:val="24"/>
        </w:rPr>
        <w:t>d</w:t>
      </w:r>
      <w:r w:rsidR="00583778">
        <w:rPr>
          <w:rFonts w:asciiTheme="minorHAnsi" w:eastAsiaTheme="minorHAnsi" w:hAnsiTheme="minorHAnsi" w:cs="Arial"/>
          <w:sz w:val="24"/>
          <w:szCs w:val="24"/>
        </w:rPr>
        <w:t xml:space="preserve"> that</w:t>
      </w:r>
      <w:r w:rsidRPr="006C49B1">
        <w:rPr>
          <w:rFonts w:asciiTheme="minorHAnsi" w:eastAsiaTheme="minorHAnsi" w:hAnsiTheme="minorHAnsi" w:cs="Arial"/>
          <w:sz w:val="24"/>
          <w:szCs w:val="24"/>
        </w:rPr>
        <w:t xml:space="preserve"> ‘</w:t>
      </w:r>
      <w:r w:rsidRPr="00583778">
        <w:rPr>
          <w:rFonts w:asciiTheme="minorHAnsi" w:eastAsiaTheme="minorHAnsi" w:hAnsiTheme="minorHAnsi" w:cs="Arial"/>
          <w:sz w:val="24"/>
          <w:szCs w:val="24"/>
        </w:rPr>
        <w:t xml:space="preserve">the SIR also came in for particular criticism, as it was seen as an unnecessary duplication of information provided elsewhere and thus of questionable value. Many suggested it should be </w:t>
      </w:r>
      <w:r w:rsidRPr="00583778">
        <w:rPr>
          <w:rFonts w:asciiTheme="minorHAnsi" w:eastAsiaTheme="minorHAnsi" w:hAnsiTheme="minorHAnsi" w:cs="Calibri"/>
          <w:sz w:val="24"/>
          <w:szCs w:val="24"/>
        </w:rPr>
        <w:t>abolished and I see no reason to disagree’ (</w:t>
      </w:r>
      <w:r w:rsidRPr="00583778">
        <w:rPr>
          <w:rFonts w:asciiTheme="minorHAnsi" w:eastAsiaTheme="minorHAnsi" w:hAnsiTheme="minorHAnsi" w:cs="Arial"/>
          <w:sz w:val="24"/>
          <w:szCs w:val="24"/>
        </w:rPr>
        <w:t>Hodgson, 2012 p68.)</w:t>
      </w:r>
      <w:r w:rsidR="00583778">
        <w:rPr>
          <w:rFonts w:asciiTheme="minorHAnsi" w:eastAsiaTheme="minorHAnsi" w:hAnsiTheme="minorHAnsi" w:cs="Arial"/>
          <w:sz w:val="24"/>
          <w:szCs w:val="24"/>
        </w:rPr>
        <w:t xml:space="preserve"> </w:t>
      </w:r>
      <w:r w:rsidR="009F1F9F">
        <w:rPr>
          <w:rFonts w:asciiTheme="minorHAnsi" w:eastAsiaTheme="minorHAnsi" w:hAnsiTheme="minorHAnsi" w:cs="Arial"/>
          <w:sz w:val="24"/>
          <w:szCs w:val="24"/>
        </w:rPr>
        <w:t xml:space="preserve">Thus, charities have not been required to complete the SIR from January 2015. </w:t>
      </w:r>
      <w:r w:rsidRPr="006C49B1">
        <w:rPr>
          <w:rFonts w:asciiTheme="minorHAnsi" w:eastAsiaTheme="minorHAnsi" w:hAnsiTheme="minorHAnsi" w:cs="Arial"/>
          <w:sz w:val="24"/>
          <w:szCs w:val="24"/>
        </w:rPr>
        <w:t xml:space="preserve">Nevertheless, the SIRs provide a researcher with invaluable information to analyse a charity’s aims, strategies, performance measures and achievements, </w:t>
      </w:r>
      <w:r w:rsidR="00583778">
        <w:rPr>
          <w:rFonts w:asciiTheme="minorHAnsi" w:eastAsiaTheme="minorHAnsi" w:hAnsiTheme="minorHAnsi" w:cs="Arial"/>
          <w:sz w:val="24"/>
          <w:szCs w:val="24"/>
        </w:rPr>
        <w:t>due to its</w:t>
      </w:r>
      <w:r w:rsidRPr="006C49B1">
        <w:rPr>
          <w:rFonts w:asciiTheme="minorHAnsi" w:eastAsiaTheme="minorHAnsi" w:hAnsiTheme="minorHAnsi" w:cs="Arial"/>
          <w:sz w:val="24"/>
          <w:szCs w:val="24"/>
        </w:rPr>
        <w:t xml:space="preserve"> succinct and comparative format. While clearly there are elements of the SIR which is duplicated in the Trustees’ Annual Report</w:t>
      </w:r>
      <w:r w:rsidR="009F1F9F">
        <w:rPr>
          <w:rFonts w:asciiTheme="minorHAnsi" w:eastAsiaTheme="minorHAnsi" w:hAnsiTheme="minorHAnsi" w:cs="Arial"/>
          <w:sz w:val="24"/>
          <w:szCs w:val="24"/>
        </w:rPr>
        <w:t xml:space="preserve"> (TAR)</w:t>
      </w:r>
      <w:r w:rsidRPr="006C49B1">
        <w:rPr>
          <w:rFonts w:asciiTheme="minorHAnsi" w:eastAsiaTheme="minorHAnsi" w:hAnsiTheme="minorHAnsi" w:cs="Arial"/>
          <w:sz w:val="24"/>
          <w:szCs w:val="24"/>
        </w:rPr>
        <w:t xml:space="preserve">, </w:t>
      </w:r>
      <w:r>
        <w:rPr>
          <w:rFonts w:asciiTheme="minorHAnsi" w:eastAsiaTheme="minorHAnsi" w:hAnsiTheme="minorHAnsi" w:cs="Arial"/>
          <w:sz w:val="24"/>
          <w:szCs w:val="24"/>
        </w:rPr>
        <w:t>(particularly the financial data), t</w:t>
      </w:r>
      <w:r w:rsidRPr="006C49B1">
        <w:rPr>
          <w:rFonts w:asciiTheme="minorHAnsi" w:eastAsiaTheme="minorHAnsi" w:hAnsiTheme="minorHAnsi" w:cs="Arial"/>
          <w:sz w:val="24"/>
          <w:szCs w:val="24"/>
        </w:rPr>
        <w:t xml:space="preserve">his </w:t>
      </w:r>
      <w:r>
        <w:rPr>
          <w:rFonts w:asciiTheme="minorHAnsi" w:eastAsiaTheme="minorHAnsi" w:hAnsiTheme="minorHAnsi" w:cs="Arial"/>
          <w:sz w:val="24"/>
          <w:szCs w:val="24"/>
        </w:rPr>
        <w:t>is</w:t>
      </w:r>
      <w:r w:rsidRPr="006C49B1">
        <w:rPr>
          <w:rFonts w:asciiTheme="minorHAnsi" w:eastAsiaTheme="minorHAnsi" w:hAnsiTheme="minorHAnsi" w:cs="Arial"/>
          <w:sz w:val="24"/>
          <w:szCs w:val="24"/>
        </w:rPr>
        <w:t xml:space="preserve"> not the case for all the information provided.</w:t>
      </w:r>
      <w:r w:rsidRPr="006C49B1">
        <w:rPr>
          <w:rFonts w:asciiTheme="minorHAnsi" w:eastAsiaTheme="minorHAnsi" w:hAnsiTheme="minorHAnsi" w:cs="Arial"/>
          <w:sz w:val="24"/>
          <w:szCs w:val="24"/>
        </w:rPr>
        <w:tab/>
      </w:r>
    </w:p>
    <w:p w:rsidR="00C12426" w:rsidRDefault="00C12426" w:rsidP="00C12426">
      <w:pPr>
        <w:ind w:firstLine="720"/>
        <w:rPr>
          <w:rFonts w:eastAsia="Batang" w:cs="Calibri"/>
          <w:sz w:val="24"/>
          <w:szCs w:val="24"/>
          <w:lang w:eastAsia="ko-KR"/>
        </w:rPr>
      </w:pPr>
    </w:p>
    <w:p w:rsidR="00002ABE" w:rsidRDefault="00002ABE" w:rsidP="00002ABE">
      <w:pPr>
        <w:rPr>
          <w:b/>
          <w:sz w:val="28"/>
          <w:szCs w:val="28"/>
        </w:rPr>
      </w:pPr>
      <w:r w:rsidRPr="00002ABE">
        <w:rPr>
          <w:b/>
          <w:sz w:val="28"/>
          <w:szCs w:val="28"/>
        </w:rPr>
        <w:t>Strategic Performance Management Systems</w:t>
      </w:r>
    </w:p>
    <w:p w:rsidR="00BF4DE4" w:rsidRDefault="00BF4DE4" w:rsidP="00BF4DE4">
      <w:pPr>
        <w:ind w:firstLine="720"/>
        <w:rPr>
          <w:rFonts w:cs="Calibri"/>
          <w:color w:val="000000"/>
          <w:sz w:val="24"/>
          <w:szCs w:val="24"/>
        </w:rPr>
      </w:pPr>
      <w:r>
        <w:rPr>
          <w:rFonts w:cs="Calibri"/>
          <w:color w:val="000000"/>
          <w:sz w:val="24"/>
          <w:szCs w:val="24"/>
        </w:rPr>
        <w:t xml:space="preserve">Concepts of management control have developed over several decades </w:t>
      </w:r>
      <w:proofErr w:type="gramStart"/>
      <w:r>
        <w:rPr>
          <w:rFonts w:cs="Calibri"/>
          <w:color w:val="000000"/>
          <w:sz w:val="24"/>
          <w:szCs w:val="24"/>
        </w:rPr>
        <w:t>since  Anthony’s</w:t>
      </w:r>
      <w:proofErr w:type="gramEnd"/>
      <w:r>
        <w:rPr>
          <w:rFonts w:cs="Calibri"/>
          <w:color w:val="000000"/>
          <w:sz w:val="24"/>
          <w:szCs w:val="24"/>
        </w:rPr>
        <w:t xml:space="preserve"> seminal definition of 1965</w:t>
      </w:r>
      <w:r w:rsidR="000554C2">
        <w:rPr>
          <w:rFonts w:cs="Calibri"/>
          <w:color w:val="000000"/>
          <w:sz w:val="24"/>
          <w:szCs w:val="24"/>
        </w:rPr>
        <w:t xml:space="preserve"> which</w:t>
      </w:r>
      <w:r>
        <w:rPr>
          <w:rFonts w:cs="Calibri"/>
          <w:color w:val="000000"/>
          <w:sz w:val="24"/>
          <w:szCs w:val="24"/>
        </w:rPr>
        <w:t xml:space="preserve"> incorporated the ideas of efficiency and effectiveness</w:t>
      </w:r>
      <w:r w:rsidR="000554C2">
        <w:rPr>
          <w:rFonts w:cs="Calibri"/>
          <w:color w:val="000000"/>
          <w:sz w:val="24"/>
          <w:szCs w:val="24"/>
        </w:rPr>
        <w:t>:</w:t>
      </w:r>
    </w:p>
    <w:p w:rsidR="00BF4DE4" w:rsidRPr="008045AF" w:rsidRDefault="00BF4DE4" w:rsidP="00BF4DE4">
      <w:pPr>
        <w:ind w:firstLine="720"/>
        <w:rPr>
          <w:rFonts w:cs="Calibri"/>
          <w:i/>
          <w:color w:val="000000"/>
          <w:sz w:val="24"/>
          <w:szCs w:val="24"/>
        </w:rPr>
      </w:pPr>
      <w:r w:rsidRPr="008045AF">
        <w:rPr>
          <w:rFonts w:cs="Calibri"/>
          <w:i/>
          <w:color w:val="000000"/>
          <w:sz w:val="24"/>
          <w:szCs w:val="24"/>
        </w:rPr>
        <w:t>‘The process by which managers assure that resources are obtained and used effectively and efficiently in the accomplishment of organizations objectives’ (Anthony, 1965 cited by Berry et al, 2005 p18</w:t>
      </w:r>
      <w:r>
        <w:rPr>
          <w:rFonts w:cs="Calibri"/>
          <w:i/>
          <w:color w:val="000000"/>
          <w:sz w:val="24"/>
          <w:szCs w:val="24"/>
        </w:rPr>
        <w:t>.</w:t>
      </w:r>
      <w:r w:rsidRPr="008045AF">
        <w:rPr>
          <w:rFonts w:cs="Calibri"/>
          <w:i/>
          <w:color w:val="000000"/>
          <w:sz w:val="24"/>
          <w:szCs w:val="24"/>
        </w:rPr>
        <w:t>)</w:t>
      </w:r>
    </w:p>
    <w:p w:rsidR="001C085E" w:rsidRDefault="000554C2" w:rsidP="001C085E">
      <w:pPr>
        <w:ind w:firstLine="720"/>
        <w:rPr>
          <w:rFonts w:asciiTheme="minorHAnsi" w:eastAsia="+mn-ea" w:hAnsiTheme="minorHAnsi" w:cstheme="minorHAnsi"/>
          <w:color w:val="000000"/>
          <w:sz w:val="24"/>
          <w:szCs w:val="24"/>
        </w:rPr>
      </w:pPr>
      <w:r>
        <w:rPr>
          <w:rFonts w:cs="Calibri"/>
          <w:color w:val="000000"/>
          <w:sz w:val="24"/>
          <w:szCs w:val="24"/>
        </w:rPr>
        <w:lastRenderedPageBreak/>
        <w:t xml:space="preserve">Three developments have been identified in management control literature with parallels being drawn </w:t>
      </w:r>
      <w:r w:rsidR="007C1D3D">
        <w:rPr>
          <w:rFonts w:cs="Calibri"/>
          <w:color w:val="000000"/>
          <w:sz w:val="24"/>
          <w:szCs w:val="24"/>
        </w:rPr>
        <w:t>with</w:t>
      </w:r>
      <w:r>
        <w:rPr>
          <w:rFonts w:cs="Calibri"/>
          <w:color w:val="000000"/>
          <w:sz w:val="24"/>
          <w:szCs w:val="24"/>
        </w:rPr>
        <w:t xml:space="preserve"> charity performance measurement techniques</w:t>
      </w:r>
      <w:r w:rsidR="007C1D3D">
        <w:rPr>
          <w:rFonts w:cs="Calibri"/>
          <w:color w:val="000000"/>
          <w:sz w:val="24"/>
          <w:szCs w:val="24"/>
        </w:rPr>
        <w:t xml:space="preserve"> (see </w:t>
      </w:r>
      <w:proofErr w:type="gramStart"/>
      <w:r w:rsidR="007C1D3D">
        <w:rPr>
          <w:rFonts w:cs="Calibri"/>
          <w:color w:val="000000"/>
          <w:sz w:val="24"/>
          <w:szCs w:val="24"/>
        </w:rPr>
        <w:t xml:space="preserve">table </w:t>
      </w:r>
      <w:r w:rsidR="00DE5379">
        <w:rPr>
          <w:rFonts w:cs="Calibri"/>
          <w:color w:val="000000"/>
          <w:sz w:val="24"/>
          <w:szCs w:val="24"/>
        </w:rPr>
        <w:t xml:space="preserve"> 1</w:t>
      </w:r>
      <w:proofErr w:type="gramEnd"/>
      <w:r w:rsidR="00DE5379">
        <w:rPr>
          <w:rFonts w:cs="Calibri"/>
          <w:color w:val="000000"/>
          <w:sz w:val="24"/>
          <w:szCs w:val="24"/>
        </w:rPr>
        <w:t xml:space="preserve"> </w:t>
      </w:r>
      <w:r w:rsidR="007C1D3D">
        <w:rPr>
          <w:rFonts w:cs="Calibri"/>
          <w:color w:val="000000"/>
          <w:sz w:val="24"/>
          <w:szCs w:val="24"/>
        </w:rPr>
        <w:t>below.)</w:t>
      </w:r>
      <w:r>
        <w:rPr>
          <w:rFonts w:cs="Calibri"/>
          <w:color w:val="000000"/>
          <w:sz w:val="24"/>
          <w:szCs w:val="24"/>
        </w:rPr>
        <w:t xml:space="preserve"> </w:t>
      </w:r>
      <w:r w:rsidR="00BF4DE4">
        <w:rPr>
          <w:rFonts w:cs="Calibri"/>
          <w:color w:val="000000"/>
          <w:sz w:val="24"/>
          <w:szCs w:val="24"/>
        </w:rPr>
        <w:t>Firstly, financial measures alone are considered inadequate to generate meaningful information.  Secondly, the limitations of cybernetic models of control hav</w:t>
      </w:r>
      <w:r w:rsidR="007C1D3D">
        <w:rPr>
          <w:rFonts w:cs="Calibri"/>
          <w:color w:val="000000"/>
          <w:sz w:val="24"/>
          <w:szCs w:val="24"/>
        </w:rPr>
        <w:t xml:space="preserve">e been acknowledged. Thirdly, </w:t>
      </w:r>
      <w:r w:rsidR="00BF4DE4">
        <w:rPr>
          <w:rFonts w:cs="Calibri"/>
          <w:color w:val="000000"/>
          <w:sz w:val="24"/>
          <w:szCs w:val="24"/>
        </w:rPr>
        <w:t>more strategic approach</w:t>
      </w:r>
      <w:r>
        <w:rPr>
          <w:rFonts w:cs="Calibri"/>
          <w:color w:val="000000"/>
          <w:sz w:val="24"/>
          <w:szCs w:val="24"/>
        </w:rPr>
        <w:t>es have</w:t>
      </w:r>
      <w:r w:rsidR="00BF4DE4">
        <w:rPr>
          <w:rFonts w:cs="Calibri"/>
          <w:color w:val="000000"/>
          <w:sz w:val="24"/>
          <w:szCs w:val="24"/>
        </w:rPr>
        <w:t xml:space="preserve"> been adopted. </w:t>
      </w:r>
      <w:r w:rsidR="001C085E" w:rsidRPr="00002ABE">
        <w:rPr>
          <w:rFonts w:asciiTheme="minorHAnsi" w:eastAsia="+mn-ea" w:hAnsiTheme="minorHAnsi" w:cstheme="minorHAnsi"/>
          <w:color w:val="000000"/>
          <w:sz w:val="24"/>
          <w:szCs w:val="24"/>
        </w:rPr>
        <w:t xml:space="preserve">Management </w:t>
      </w:r>
      <w:r>
        <w:rPr>
          <w:rFonts w:asciiTheme="minorHAnsi" w:eastAsia="+mn-ea" w:hAnsiTheme="minorHAnsi" w:cstheme="minorHAnsi"/>
          <w:color w:val="000000"/>
          <w:sz w:val="24"/>
          <w:szCs w:val="24"/>
        </w:rPr>
        <w:t>accounting theory would suggest that m</w:t>
      </w:r>
      <w:r w:rsidR="001C085E" w:rsidRPr="00002ABE">
        <w:rPr>
          <w:rFonts w:asciiTheme="minorHAnsi" w:eastAsia="+mn-ea" w:hAnsiTheme="minorHAnsi" w:cstheme="minorHAnsi"/>
          <w:color w:val="000000"/>
          <w:sz w:val="24"/>
          <w:szCs w:val="24"/>
        </w:rPr>
        <w:t>easures should be comprehens</w:t>
      </w:r>
      <w:r>
        <w:rPr>
          <w:rFonts w:asciiTheme="minorHAnsi" w:eastAsia="+mn-ea" w:hAnsiTheme="minorHAnsi" w:cstheme="minorHAnsi"/>
          <w:color w:val="000000"/>
          <w:sz w:val="24"/>
          <w:szCs w:val="24"/>
        </w:rPr>
        <w:t>ive and they require alignment with an organisations mission, strategy and objectives.</w:t>
      </w:r>
    </w:p>
    <w:p w:rsidR="001C085E" w:rsidRDefault="007C1D3D" w:rsidP="003B5B45">
      <w:pPr>
        <w:ind w:firstLine="720"/>
        <w:rPr>
          <w:sz w:val="24"/>
          <w:szCs w:val="24"/>
        </w:rPr>
      </w:pPr>
      <w:r>
        <w:rPr>
          <w:rFonts w:asciiTheme="minorHAnsi" w:eastAsia="+mn-ea" w:hAnsiTheme="minorHAnsi" w:cstheme="minorHAnsi"/>
          <w:color w:val="000000"/>
          <w:sz w:val="24"/>
          <w:szCs w:val="24"/>
        </w:rPr>
        <w:t>P</w:t>
      </w:r>
      <w:r w:rsidR="007C7988" w:rsidRPr="001C085E">
        <w:rPr>
          <w:rFonts w:asciiTheme="minorHAnsi" w:eastAsia="+mn-ea" w:hAnsiTheme="minorHAnsi" w:cstheme="minorHAnsi"/>
          <w:color w:val="000000"/>
          <w:sz w:val="24"/>
          <w:szCs w:val="24"/>
        </w:rPr>
        <w:t xml:space="preserve">erformance management has </w:t>
      </w:r>
      <w:r w:rsidR="007C7988">
        <w:rPr>
          <w:rFonts w:asciiTheme="minorHAnsi" w:eastAsia="+mn-ea" w:hAnsiTheme="minorHAnsi" w:cstheme="minorHAnsi"/>
          <w:color w:val="000000"/>
          <w:sz w:val="24"/>
          <w:szCs w:val="24"/>
        </w:rPr>
        <w:t>historically been</w:t>
      </w:r>
      <w:r w:rsidR="007C7988" w:rsidRPr="001C085E">
        <w:rPr>
          <w:rFonts w:asciiTheme="minorHAnsi" w:eastAsia="+mn-ea" w:hAnsiTheme="minorHAnsi" w:cstheme="minorHAnsi"/>
          <w:color w:val="000000"/>
          <w:sz w:val="24"/>
          <w:szCs w:val="24"/>
        </w:rPr>
        <w:t xml:space="preserve"> concerned with reporting accounting and financial measures. </w:t>
      </w:r>
      <w:r w:rsidR="007C7988">
        <w:rPr>
          <w:rFonts w:asciiTheme="minorHAnsi" w:eastAsia="+mn-ea" w:hAnsiTheme="minorHAnsi" w:cstheme="minorHAnsi"/>
          <w:color w:val="000000"/>
          <w:sz w:val="24"/>
          <w:szCs w:val="24"/>
        </w:rPr>
        <w:t>However, f</w:t>
      </w:r>
      <w:r w:rsidR="007C7988" w:rsidRPr="001C085E">
        <w:rPr>
          <w:rFonts w:asciiTheme="minorHAnsi" w:eastAsia="Batang" w:hAnsiTheme="minorHAnsi" w:cstheme="minorHAnsi"/>
          <w:sz w:val="24"/>
          <w:szCs w:val="24"/>
          <w:lang w:eastAsia="ko-KR"/>
        </w:rPr>
        <w:t xml:space="preserve">inancial measures </w:t>
      </w:r>
      <w:r w:rsidR="000554C2">
        <w:rPr>
          <w:rFonts w:asciiTheme="minorHAnsi" w:eastAsia="Batang" w:hAnsiTheme="minorHAnsi" w:cstheme="minorHAnsi"/>
          <w:sz w:val="24"/>
          <w:szCs w:val="24"/>
          <w:lang w:eastAsia="ko-KR"/>
        </w:rPr>
        <w:t>have been</w:t>
      </w:r>
      <w:r w:rsidR="007C7988" w:rsidRPr="001C085E">
        <w:rPr>
          <w:rFonts w:asciiTheme="minorHAnsi" w:eastAsia="Batang" w:hAnsiTheme="minorHAnsi" w:cstheme="minorHAnsi"/>
          <w:sz w:val="24"/>
          <w:szCs w:val="24"/>
          <w:lang w:eastAsia="ko-KR"/>
        </w:rPr>
        <w:t xml:space="preserve"> considered backward-looking, short term and failed to identify root causes of problems (</w:t>
      </w:r>
      <w:proofErr w:type="spellStart"/>
      <w:r w:rsidR="007C7988" w:rsidRPr="001C085E">
        <w:rPr>
          <w:rFonts w:asciiTheme="minorHAnsi" w:eastAsia="Batang" w:hAnsiTheme="minorHAnsi" w:cstheme="minorHAnsi"/>
          <w:sz w:val="24"/>
          <w:szCs w:val="24"/>
          <w:lang w:eastAsia="ko-KR"/>
        </w:rPr>
        <w:t>Ittner</w:t>
      </w:r>
      <w:proofErr w:type="spellEnd"/>
      <w:r w:rsidR="007C7988" w:rsidRPr="001C085E">
        <w:rPr>
          <w:rFonts w:asciiTheme="minorHAnsi" w:eastAsia="Batang" w:hAnsiTheme="minorHAnsi" w:cstheme="minorHAnsi"/>
          <w:sz w:val="24"/>
          <w:szCs w:val="24"/>
          <w:lang w:eastAsia="ko-KR"/>
        </w:rPr>
        <w:t xml:space="preserve"> and </w:t>
      </w:r>
      <w:proofErr w:type="spellStart"/>
      <w:r w:rsidR="007C7988" w:rsidRPr="001C085E">
        <w:rPr>
          <w:rFonts w:asciiTheme="minorHAnsi" w:eastAsia="Batang" w:hAnsiTheme="minorHAnsi" w:cstheme="minorHAnsi"/>
          <w:sz w:val="24"/>
          <w:szCs w:val="24"/>
          <w:lang w:eastAsia="ko-KR"/>
        </w:rPr>
        <w:t>Larcker</w:t>
      </w:r>
      <w:proofErr w:type="spellEnd"/>
      <w:r w:rsidR="007C7988" w:rsidRPr="001C085E">
        <w:rPr>
          <w:rFonts w:asciiTheme="minorHAnsi" w:eastAsia="Batang" w:hAnsiTheme="minorHAnsi" w:cstheme="minorHAnsi"/>
          <w:sz w:val="24"/>
          <w:szCs w:val="24"/>
          <w:lang w:eastAsia="ko-KR"/>
        </w:rPr>
        <w:t xml:space="preserve">, 1998.) </w:t>
      </w:r>
      <w:r w:rsidR="007C7988">
        <w:rPr>
          <w:rFonts w:asciiTheme="minorHAnsi" w:eastAsia="Batang" w:hAnsiTheme="minorHAnsi" w:cstheme="minorHAnsi"/>
          <w:sz w:val="24"/>
          <w:szCs w:val="24"/>
          <w:lang w:eastAsia="ko-KR"/>
        </w:rPr>
        <w:t>As we have seen</w:t>
      </w:r>
      <w:r>
        <w:rPr>
          <w:rFonts w:asciiTheme="minorHAnsi" w:eastAsia="Batang" w:hAnsiTheme="minorHAnsi" w:cstheme="minorHAnsi"/>
          <w:sz w:val="24"/>
          <w:szCs w:val="24"/>
          <w:lang w:eastAsia="ko-KR"/>
        </w:rPr>
        <w:t>,</w:t>
      </w:r>
      <w:r w:rsidR="007C7988">
        <w:rPr>
          <w:rFonts w:asciiTheme="minorHAnsi" w:eastAsia="Batang" w:hAnsiTheme="minorHAnsi" w:cstheme="minorHAnsi"/>
          <w:sz w:val="24"/>
          <w:szCs w:val="24"/>
          <w:lang w:eastAsia="ko-KR"/>
        </w:rPr>
        <w:t xml:space="preserve"> the limitations of merely reporting f</w:t>
      </w:r>
      <w:r w:rsidR="00175DA4">
        <w:rPr>
          <w:sz w:val="24"/>
          <w:szCs w:val="24"/>
        </w:rPr>
        <w:t>inancial</w:t>
      </w:r>
      <w:r w:rsidR="00175DA4" w:rsidRPr="00E05C80">
        <w:rPr>
          <w:sz w:val="24"/>
          <w:szCs w:val="24"/>
        </w:rPr>
        <w:t xml:space="preserve"> measures </w:t>
      </w:r>
      <w:r w:rsidR="007C7988">
        <w:rPr>
          <w:sz w:val="24"/>
          <w:szCs w:val="24"/>
        </w:rPr>
        <w:t>in charity accounts have been well documented (Connolly and Hyndman</w:t>
      </w:r>
      <w:proofErr w:type="gramStart"/>
      <w:r w:rsidR="007C7988">
        <w:rPr>
          <w:sz w:val="24"/>
          <w:szCs w:val="24"/>
        </w:rPr>
        <w:t>,2013a</w:t>
      </w:r>
      <w:proofErr w:type="gramEnd"/>
      <w:r w:rsidR="007C7988">
        <w:rPr>
          <w:sz w:val="24"/>
          <w:szCs w:val="24"/>
        </w:rPr>
        <w:t xml:space="preserve">). </w:t>
      </w:r>
      <w:r w:rsidR="00175DA4">
        <w:rPr>
          <w:sz w:val="24"/>
          <w:szCs w:val="24"/>
        </w:rPr>
        <w:t xml:space="preserve">Ritchie and </w:t>
      </w:r>
      <w:proofErr w:type="spellStart"/>
      <w:r w:rsidR="00175DA4">
        <w:rPr>
          <w:sz w:val="24"/>
          <w:szCs w:val="24"/>
        </w:rPr>
        <w:t>Kolodinsky</w:t>
      </w:r>
      <w:proofErr w:type="spellEnd"/>
      <w:r w:rsidR="00175DA4">
        <w:rPr>
          <w:sz w:val="24"/>
          <w:szCs w:val="24"/>
        </w:rPr>
        <w:t xml:space="preserve"> </w:t>
      </w:r>
      <w:r w:rsidR="00175DA4" w:rsidRPr="00E05C80">
        <w:rPr>
          <w:sz w:val="24"/>
          <w:szCs w:val="24"/>
        </w:rPr>
        <w:t>(2003</w:t>
      </w:r>
      <w:r w:rsidR="00175DA4">
        <w:rPr>
          <w:sz w:val="24"/>
          <w:szCs w:val="24"/>
        </w:rPr>
        <w:t xml:space="preserve"> p368</w:t>
      </w:r>
      <w:r w:rsidR="00175DA4" w:rsidRPr="00E05C80">
        <w:rPr>
          <w:sz w:val="24"/>
          <w:szCs w:val="24"/>
        </w:rPr>
        <w:t>) argue that, even in just considering financial performance, there is a ‘confusing array’ of measures</w:t>
      </w:r>
      <w:r w:rsidR="00175DA4">
        <w:rPr>
          <w:sz w:val="24"/>
          <w:szCs w:val="24"/>
        </w:rPr>
        <w:t xml:space="preserve"> and suggest consensus is needed to provide comparable financial information.</w:t>
      </w:r>
      <w:r w:rsidR="00175DA4" w:rsidRPr="00E05C80">
        <w:rPr>
          <w:sz w:val="24"/>
          <w:szCs w:val="24"/>
        </w:rPr>
        <w:t xml:space="preserve"> </w:t>
      </w:r>
      <w:r w:rsidR="00314EE9">
        <w:rPr>
          <w:sz w:val="24"/>
          <w:szCs w:val="24"/>
        </w:rPr>
        <w:t>T</w:t>
      </w:r>
      <w:r w:rsidR="00175DA4">
        <w:rPr>
          <w:sz w:val="24"/>
          <w:szCs w:val="24"/>
        </w:rPr>
        <w:t xml:space="preserve">hey </w:t>
      </w:r>
      <w:r w:rsidR="00314EE9">
        <w:rPr>
          <w:sz w:val="24"/>
          <w:szCs w:val="24"/>
        </w:rPr>
        <w:t xml:space="preserve">also </w:t>
      </w:r>
      <w:r w:rsidR="00175DA4" w:rsidRPr="00E05C80">
        <w:rPr>
          <w:sz w:val="24"/>
          <w:szCs w:val="24"/>
        </w:rPr>
        <w:t>recognise the shortcomings of dependence on purely financial information, such as cutting costs to meet short-term goals at the expense of longer term mission-critical services</w:t>
      </w:r>
      <w:r w:rsidR="00175DA4">
        <w:rPr>
          <w:sz w:val="24"/>
          <w:szCs w:val="24"/>
        </w:rPr>
        <w:t xml:space="preserve">. Connolly </w:t>
      </w:r>
      <w:r w:rsidR="00DE5379">
        <w:rPr>
          <w:sz w:val="24"/>
          <w:szCs w:val="24"/>
        </w:rPr>
        <w:t>et al</w:t>
      </w:r>
      <w:r w:rsidR="00175DA4">
        <w:rPr>
          <w:sz w:val="24"/>
          <w:szCs w:val="24"/>
        </w:rPr>
        <w:t xml:space="preserve"> (2012) also acknowledge that financial measurement is open to variation in accounting treatments. </w:t>
      </w:r>
    </w:p>
    <w:p w:rsidR="007C7988" w:rsidRDefault="007C1D3D" w:rsidP="007C7988">
      <w:pPr>
        <w:ind w:firstLine="720"/>
        <w:rPr>
          <w:rFonts w:asciiTheme="minorHAnsi" w:eastAsia="+mn-ea" w:hAnsiTheme="minorHAnsi" w:cstheme="minorHAnsi"/>
          <w:color w:val="000000"/>
          <w:sz w:val="24"/>
          <w:szCs w:val="24"/>
        </w:rPr>
      </w:pPr>
      <w:r>
        <w:rPr>
          <w:rFonts w:asciiTheme="minorHAnsi" w:eastAsia="+mn-ea" w:hAnsiTheme="minorHAnsi" w:cstheme="minorHAnsi"/>
          <w:color w:val="000000"/>
          <w:sz w:val="24"/>
          <w:szCs w:val="24"/>
        </w:rPr>
        <w:t>E</w:t>
      </w:r>
      <w:r w:rsidR="001C085E" w:rsidRPr="001C085E">
        <w:rPr>
          <w:rFonts w:asciiTheme="minorHAnsi" w:eastAsia="+mn-ea" w:hAnsiTheme="minorHAnsi" w:cstheme="minorHAnsi"/>
          <w:color w:val="000000"/>
          <w:sz w:val="24"/>
          <w:szCs w:val="24"/>
        </w:rPr>
        <w:t>arly control systems adopted cybernetic models to promote organisational learning through feedback. Four key conditions are identified: there must be a clear aim or purpose; whose outputs must be measurable; the measures need to be predictive, showing the cause and effect relationship and corrective action must be able to follow (Emmanuel et al</w:t>
      </w:r>
      <w:proofErr w:type="gramStart"/>
      <w:r w:rsidR="001C085E" w:rsidRPr="001C085E">
        <w:rPr>
          <w:rFonts w:asciiTheme="minorHAnsi" w:eastAsia="+mn-ea" w:hAnsiTheme="minorHAnsi" w:cstheme="minorHAnsi"/>
          <w:color w:val="000000"/>
          <w:sz w:val="24"/>
          <w:szCs w:val="24"/>
        </w:rPr>
        <w:t>,1990</w:t>
      </w:r>
      <w:proofErr w:type="gramEnd"/>
      <w:r w:rsidR="001C085E" w:rsidRPr="001C085E">
        <w:rPr>
          <w:rFonts w:asciiTheme="minorHAnsi" w:eastAsia="+mn-ea" w:hAnsiTheme="minorHAnsi" w:cstheme="minorHAnsi"/>
          <w:color w:val="000000"/>
          <w:sz w:val="24"/>
          <w:szCs w:val="24"/>
        </w:rPr>
        <w:t xml:space="preserve"> p8.)</w:t>
      </w:r>
      <w:r w:rsidR="001C085E" w:rsidRPr="001C085E">
        <w:rPr>
          <w:rFonts w:asciiTheme="minorHAnsi" w:eastAsia="+mn-ea" w:hAnsiTheme="minorHAnsi" w:cstheme="minorHAnsi"/>
          <w:color w:val="FF0000"/>
          <w:sz w:val="24"/>
          <w:szCs w:val="24"/>
        </w:rPr>
        <w:t xml:space="preserve">  </w:t>
      </w:r>
      <w:r w:rsidR="001C085E" w:rsidRPr="001C085E">
        <w:rPr>
          <w:rFonts w:asciiTheme="minorHAnsi" w:eastAsia="+mn-ea" w:hAnsiTheme="minorHAnsi" w:cstheme="minorHAnsi"/>
          <w:color w:val="000000"/>
          <w:sz w:val="24"/>
          <w:szCs w:val="24"/>
        </w:rPr>
        <w:t xml:space="preserve"> Such controls are likened to mechanical devices such thermostats and applied to traditional management controls, such as budgets. However, this mechanistic view of performance measurement ha</w:t>
      </w:r>
      <w:r>
        <w:rPr>
          <w:rFonts w:asciiTheme="minorHAnsi" w:eastAsia="+mn-ea" w:hAnsiTheme="minorHAnsi" w:cstheme="minorHAnsi"/>
          <w:color w:val="000000"/>
          <w:sz w:val="24"/>
          <w:szCs w:val="24"/>
        </w:rPr>
        <w:t>s</w:t>
      </w:r>
      <w:r w:rsidR="001C085E" w:rsidRPr="001C085E">
        <w:rPr>
          <w:rFonts w:asciiTheme="minorHAnsi" w:eastAsia="+mn-ea" w:hAnsiTheme="minorHAnsi" w:cstheme="minorHAnsi"/>
          <w:color w:val="000000"/>
          <w:sz w:val="24"/>
          <w:szCs w:val="24"/>
        </w:rPr>
        <w:t xml:space="preserve"> a number of shortcomings. Extensive research into private sector balanced scorecards has failed to objectively demonstrate its causal relationships working effectively (</w:t>
      </w:r>
      <w:proofErr w:type="spellStart"/>
      <w:r w:rsidR="001C085E" w:rsidRPr="001C085E">
        <w:rPr>
          <w:rFonts w:asciiTheme="minorHAnsi" w:eastAsia="+mn-ea" w:hAnsiTheme="minorHAnsi" w:cstheme="minorHAnsi"/>
          <w:color w:val="000000"/>
          <w:sz w:val="24"/>
          <w:szCs w:val="24"/>
        </w:rPr>
        <w:t>eg</w:t>
      </w:r>
      <w:proofErr w:type="spellEnd"/>
      <w:r w:rsidR="001C085E" w:rsidRPr="001C085E">
        <w:rPr>
          <w:rFonts w:asciiTheme="minorHAnsi" w:eastAsia="+mn-ea" w:hAnsiTheme="minorHAnsi" w:cstheme="minorHAnsi"/>
          <w:color w:val="000000"/>
          <w:sz w:val="24"/>
          <w:szCs w:val="24"/>
        </w:rPr>
        <w:t xml:space="preserve"> </w:t>
      </w:r>
      <w:proofErr w:type="spellStart"/>
      <w:r w:rsidR="001C085E" w:rsidRPr="001C085E">
        <w:rPr>
          <w:rFonts w:asciiTheme="minorHAnsi" w:eastAsia="+mn-ea" w:hAnsiTheme="minorHAnsi" w:cstheme="minorHAnsi"/>
          <w:color w:val="000000"/>
          <w:sz w:val="24"/>
          <w:szCs w:val="24"/>
        </w:rPr>
        <w:t>Ittner</w:t>
      </w:r>
      <w:proofErr w:type="spellEnd"/>
      <w:r w:rsidR="001C085E" w:rsidRPr="001C085E">
        <w:rPr>
          <w:rFonts w:asciiTheme="minorHAnsi" w:eastAsia="+mn-ea" w:hAnsiTheme="minorHAnsi" w:cstheme="minorHAnsi"/>
          <w:color w:val="000000"/>
          <w:sz w:val="24"/>
          <w:szCs w:val="24"/>
        </w:rPr>
        <w:t xml:space="preserve"> et al</w:t>
      </w:r>
      <w:proofErr w:type="gramStart"/>
      <w:r w:rsidR="001C085E" w:rsidRPr="001C085E">
        <w:rPr>
          <w:rFonts w:asciiTheme="minorHAnsi" w:eastAsia="+mn-ea" w:hAnsiTheme="minorHAnsi" w:cstheme="minorHAnsi"/>
          <w:color w:val="000000"/>
          <w:sz w:val="24"/>
          <w:szCs w:val="24"/>
        </w:rPr>
        <w:t>,2003</w:t>
      </w:r>
      <w:proofErr w:type="gramEnd"/>
      <w:r w:rsidR="001C085E" w:rsidRPr="001C085E">
        <w:rPr>
          <w:rFonts w:asciiTheme="minorHAnsi" w:eastAsia="+mn-ea" w:hAnsiTheme="minorHAnsi" w:cstheme="minorHAnsi"/>
          <w:color w:val="000000"/>
          <w:sz w:val="24"/>
          <w:szCs w:val="24"/>
        </w:rPr>
        <w:t xml:space="preserve">, Norreklit,2000.) Emmanuel et al (1990) distinguished between programmed and non-programmed decisions, allowing for the unpredictability of human behaviour and so judged performance by ‘results’ as well as ‘actions’. Merchant also identified ‘personnel’ controls (Merchant and Van der </w:t>
      </w:r>
      <w:proofErr w:type="spellStart"/>
      <w:r w:rsidR="001C085E" w:rsidRPr="001C085E">
        <w:rPr>
          <w:rFonts w:asciiTheme="minorHAnsi" w:eastAsia="+mn-ea" w:hAnsiTheme="minorHAnsi" w:cstheme="minorHAnsi"/>
          <w:color w:val="000000"/>
          <w:sz w:val="24"/>
          <w:szCs w:val="24"/>
        </w:rPr>
        <w:t>Stede</w:t>
      </w:r>
      <w:proofErr w:type="spellEnd"/>
      <w:r w:rsidR="001C085E" w:rsidRPr="001C085E">
        <w:rPr>
          <w:rFonts w:asciiTheme="minorHAnsi" w:eastAsia="+mn-ea" w:hAnsiTheme="minorHAnsi" w:cstheme="minorHAnsi"/>
          <w:color w:val="000000"/>
          <w:sz w:val="24"/>
          <w:szCs w:val="24"/>
        </w:rPr>
        <w:t xml:space="preserve"> (2012 p217) drawing on work by </w:t>
      </w:r>
      <w:proofErr w:type="spellStart"/>
      <w:r w:rsidR="001C085E" w:rsidRPr="001C085E">
        <w:rPr>
          <w:rFonts w:asciiTheme="minorHAnsi" w:eastAsia="+mn-ea" w:hAnsiTheme="minorHAnsi" w:cstheme="minorHAnsi"/>
          <w:color w:val="000000"/>
          <w:sz w:val="24"/>
          <w:szCs w:val="24"/>
        </w:rPr>
        <w:t>Ouchi</w:t>
      </w:r>
      <w:proofErr w:type="spellEnd"/>
      <w:r w:rsidR="001C085E" w:rsidRPr="001C085E">
        <w:rPr>
          <w:rFonts w:asciiTheme="minorHAnsi" w:eastAsia="+mn-ea" w:hAnsiTheme="minorHAnsi" w:cstheme="minorHAnsi"/>
          <w:color w:val="000000"/>
          <w:sz w:val="24"/>
          <w:szCs w:val="24"/>
        </w:rPr>
        <w:t xml:space="preserve"> (1979) which identified informal social mechanisms as well as market and bureaucratic controls. </w:t>
      </w:r>
      <w:r w:rsidR="007C7988">
        <w:rPr>
          <w:rFonts w:asciiTheme="minorHAnsi" w:eastAsia="+mn-ea" w:hAnsiTheme="minorHAnsi" w:cstheme="minorHAnsi"/>
          <w:color w:val="000000"/>
          <w:sz w:val="24"/>
          <w:szCs w:val="24"/>
        </w:rPr>
        <w:t>T</w:t>
      </w:r>
      <w:r w:rsidR="007C7988">
        <w:rPr>
          <w:sz w:val="24"/>
          <w:szCs w:val="24"/>
        </w:rPr>
        <w:t>he relationships of the logic model are akin to the cybernetic performance control systems in the performance management literature. The</w:t>
      </w:r>
      <w:r w:rsidR="008F4DAF">
        <w:rPr>
          <w:sz w:val="24"/>
          <w:szCs w:val="24"/>
        </w:rPr>
        <w:t>y</w:t>
      </w:r>
      <w:r w:rsidR="007C7988">
        <w:rPr>
          <w:sz w:val="24"/>
          <w:szCs w:val="24"/>
        </w:rPr>
        <w:t xml:space="preserve"> incorporate non-financial measures and show cause and effects relationships. </w:t>
      </w:r>
      <w:r w:rsidR="007C7988">
        <w:rPr>
          <w:rFonts w:eastAsia="Batang" w:cs="Calibri"/>
          <w:sz w:val="24"/>
          <w:szCs w:val="24"/>
          <w:lang w:eastAsia="ko-KR"/>
        </w:rPr>
        <w:t>Another example of a mechanistic model is</w:t>
      </w:r>
      <w:r w:rsidR="007C7988">
        <w:rPr>
          <w:sz w:val="24"/>
          <w:szCs w:val="24"/>
        </w:rPr>
        <w:t xml:space="preserve"> the </w:t>
      </w:r>
      <w:r w:rsidR="007C7988" w:rsidRPr="00E05C80">
        <w:rPr>
          <w:sz w:val="24"/>
          <w:szCs w:val="24"/>
        </w:rPr>
        <w:t>Social Return on Investment (SROI)</w:t>
      </w:r>
      <w:r w:rsidR="007C7988">
        <w:rPr>
          <w:sz w:val="24"/>
          <w:szCs w:val="24"/>
        </w:rPr>
        <w:t xml:space="preserve"> model, c</w:t>
      </w:r>
      <w:r w:rsidR="007C7988" w:rsidRPr="00E05C80">
        <w:rPr>
          <w:sz w:val="24"/>
          <w:szCs w:val="24"/>
        </w:rPr>
        <w:t>ombin</w:t>
      </w:r>
      <w:r w:rsidR="007C7988">
        <w:rPr>
          <w:sz w:val="24"/>
          <w:szCs w:val="24"/>
        </w:rPr>
        <w:t>ing</w:t>
      </w:r>
      <w:r w:rsidR="007C7988" w:rsidRPr="00E05C80">
        <w:rPr>
          <w:sz w:val="24"/>
          <w:szCs w:val="24"/>
        </w:rPr>
        <w:t xml:space="preserve"> economic value with social impact</w:t>
      </w:r>
      <w:r w:rsidR="007C7988">
        <w:rPr>
          <w:sz w:val="24"/>
          <w:szCs w:val="24"/>
        </w:rPr>
        <w:t>. Derived</w:t>
      </w:r>
      <w:r w:rsidR="007C7988" w:rsidRPr="00E05C80">
        <w:rPr>
          <w:sz w:val="24"/>
          <w:szCs w:val="24"/>
        </w:rPr>
        <w:t xml:space="preserve"> from cost-benefit analysis, it </w:t>
      </w:r>
      <w:r w:rsidR="007C7988">
        <w:rPr>
          <w:sz w:val="24"/>
          <w:szCs w:val="24"/>
        </w:rPr>
        <w:t>calculates the ratio of</w:t>
      </w:r>
      <w:r w:rsidR="007C7988" w:rsidRPr="00E05C80">
        <w:rPr>
          <w:sz w:val="24"/>
          <w:szCs w:val="24"/>
        </w:rPr>
        <w:t xml:space="preserve"> costs </w:t>
      </w:r>
      <w:r w:rsidR="007C7988">
        <w:rPr>
          <w:sz w:val="24"/>
          <w:szCs w:val="24"/>
        </w:rPr>
        <w:t>to</w:t>
      </w:r>
      <w:r w:rsidR="007C7988" w:rsidRPr="00E05C80">
        <w:rPr>
          <w:sz w:val="24"/>
          <w:szCs w:val="24"/>
        </w:rPr>
        <w:t xml:space="preserve"> benefits </w:t>
      </w:r>
      <w:r w:rsidR="007C7988">
        <w:rPr>
          <w:sz w:val="24"/>
          <w:szCs w:val="24"/>
        </w:rPr>
        <w:t xml:space="preserve">in </w:t>
      </w:r>
      <w:r w:rsidR="007C7988" w:rsidRPr="00E05C80">
        <w:rPr>
          <w:sz w:val="24"/>
          <w:szCs w:val="24"/>
        </w:rPr>
        <w:t>monetary terms so creating ‘currency of social value</w:t>
      </w:r>
      <w:r w:rsidR="007C7988">
        <w:rPr>
          <w:sz w:val="24"/>
          <w:szCs w:val="24"/>
        </w:rPr>
        <w:t>’</w:t>
      </w:r>
      <w:r w:rsidR="007C7988" w:rsidRPr="00DB3F34">
        <w:rPr>
          <w:rFonts w:eastAsia="SimSun" w:cs="Calibri"/>
          <w:sz w:val="24"/>
          <w:szCs w:val="24"/>
          <w:lang w:eastAsia="zh-CN"/>
        </w:rPr>
        <w:t xml:space="preserve"> </w:t>
      </w:r>
      <w:r w:rsidR="007C7988" w:rsidRPr="006F5CD0">
        <w:rPr>
          <w:rFonts w:eastAsia="SimSun" w:cs="Calibri"/>
          <w:sz w:val="24"/>
          <w:szCs w:val="24"/>
          <w:lang w:eastAsia="zh-CN"/>
        </w:rPr>
        <w:t>(</w:t>
      </w:r>
      <w:proofErr w:type="spellStart"/>
      <w:r w:rsidR="007C7988" w:rsidRPr="006F5CD0">
        <w:rPr>
          <w:rFonts w:eastAsia="SimSun" w:cs="Calibri"/>
          <w:sz w:val="24"/>
          <w:szCs w:val="24"/>
          <w:lang w:eastAsia="zh-CN"/>
        </w:rPr>
        <w:t>Arvidson</w:t>
      </w:r>
      <w:proofErr w:type="spellEnd"/>
      <w:r w:rsidR="007C7988">
        <w:rPr>
          <w:rFonts w:eastAsia="SimSun" w:cs="Calibri"/>
          <w:sz w:val="24"/>
          <w:szCs w:val="24"/>
          <w:lang w:eastAsia="zh-CN"/>
        </w:rPr>
        <w:t xml:space="preserve"> et al, </w:t>
      </w:r>
      <w:r w:rsidR="007C7988" w:rsidRPr="006F5CD0">
        <w:rPr>
          <w:rFonts w:eastAsia="SimSun" w:cs="Calibri"/>
          <w:sz w:val="24"/>
          <w:szCs w:val="24"/>
          <w:lang w:eastAsia="zh-CN"/>
        </w:rPr>
        <w:t>2010</w:t>
      </w:r>
      <w:r w:rsidR="007C7988">
        <w:rPr>
          <w:rFonts w:eastAsia="SimSun" w:cs="Calibri"/>
          <w:sz w:val="24"/>
          <w:szCs w:val="24"/>
          <w:lang w:eastAsia="zh-CN"/>
        </w:rPr>
        <w:t>.)</w:t>
      </w:r>
      <w:r w:rsidR="008F4DAF" w:rsidRPr="008F4DAF">
        <w:rPr>
          <w:rFonts w:eastAsia="Batang" w:cs="Calibri"/>
          <w:sz w:val="24"/>
          <w:szCs w:val="24"/>
          <w:lang w:eastAsia="ko-KR"/>
        </w:rPr>
        <w:t xml:space="preserve"> </w:t>
      </w:r>
    </w:p>
    <w:p w:rsidR="00314EE9" w:rsidRDefault="007C1D3D" w:rsidP="00BF4DE4">
      <w:pPr>
        <w:ind w:firstLine="720"/>
        <w:rPr>
          <w:rFonts w:eastAsia="Batang" w:cs="Calibri"/>
          <w:sz w:val="24"/>
          <w:szCs w:val="24"/>
          <w:lang w:eastAsia="ko-KR"/>
        </w:rPr>
      </w:pPr>
      <w:r>
        <w:rPr>
          <w:rFonts w:asciiTheme="minorHAnsi" w:eastAsia="+mn-ea" w:hAnsiTheme="minorHAnsi" w:cstheme="minorHAnsi"/>
          <w:color w:val="000000"/>
          <w:sz w:val="24"/>
          <w:szCs w:val="24"/>
        </w:rPr>
        <w:lastRenderedPageBreak/>
        <w:t>C</w:t>
      </w:r>
      <w:r w:rsidR="008F4DAF">
        <w:rPr>
          <w:rFonts w:asciiTheme="minorHAnsi" w:eastAsia="+mn-ea" w:hAnsiTheme="minorHAnsi" w:cstheme="minorHAnsi"/>
          <w:color w:val="000000"/>
          <w:sz w:val="24"/>
          <w:szCs w:val="24"/>
        </w:rPr>
        <w:t>omprehensive performance measurement models have been developed</w:t>
      </w:r>
      <w:r w:rsidR="00314EE9">
        <w:rPr>
          <w:rFonts w:asciiTheme="minorHAnsi" w:eastAsia="+mn-ea" w:hAnsiTheme="minorHAnsi" w:cstheme="minorHAnsi"/>
          <w:color w:val="000000"/>
          <w:sz w:val="24"/>
          <w:szCs w:val="24"/>
        </w:rPr>
        <w:t xml:space="preserve"> in response to the limitations of previous management control systems. </w:t>
      </w:r>
      <w:r w:rsidR="008F4DAF">
        <w:rPr>
          <w:rFonts w:asciiTheme="minorHAnsi" w:eastAsia="+mn-ea" w:hAnsiTheme="minorHAnsi" w:cstheme="minorHAnsi"/>
          <w:color w:val="000000"/>
          <w:sz w:val="24"/>
          <w:szCs w:val="24"/>
        </w:rPr>
        <w:t>S</w:t>
      </w:r>
      <w:r w:rsidR="001C085E" w:rsidRPr="001C085E">
        <w:rPr>
          <w:rFonts w:asciiTheme="minorHAnsi" w:eastAsia="+mn-ea" w:hAnsiTheme="minorHAnsi" w:cstheme="minorHAnsi"/>
          <w:color w:val="000000"/>
          <w:sz w:val="24"/>
          <w:szCs w:val="24"/>
        </w:rPr>
        <w:t xml:space="preserve">trategic advantage is gained through integrating goals, strategy and operations through strategic performance measurement systems (SPMSs.) </w:t>
      </w:r>
      <w:proofErr w:type="spellStart"/>
      <w:r w:rsidR="001C085E" w:rsidRPr="001C085E">
        <w:rPr>
          <w:rFonts w:asciiTheme="minorHAnsi" w:eastAsia="+mn-ea" w:hAnsiTheme="minorHAnsi" w:cstheme="minorHAnsi"/>
          <w:color w:val="000000"/>
          <w:sz w:val="24"/>
          <w:szCs w:val="24"/>
        </w:rPr>
        <w:t>Chenhall</w:t>
      </w:r>
      <w:proofErr w:type="spellEnd"/>
      <w:r w:rsidR="001C085E" w:rsidRPr="001C085E">
        <w:rPr>
          <w:rFonts w:asciiTheme="minorHAnsi" w:eastAsia="+mn-ea" w:hAnsiTheme="minorHAnsi" w:cstheme="minorHAnsi"/>
          <w:color w:val="000000"/>
          <w:sz w:val="24"/>
          <w:szCs w:val="24"/>
        </w:rPr>
        <w:t xml:space="preserve"> (2005 p400) suggests that their effectiveness is dependent on ‘a coherent performance measurement system that enables strategy and operations to be integrated and harmonised,’ typified by the balanced scorecard </w:t>
      </w:r>
      <w:r w:rsidR="008F4DAF">
        <w:rPr>
          <w:rFonts w:asciiTheme="minorHAnsi" w:eastAsia="+mn-ea" w:hAnsiTheme="minorHAnsi" w:cstheme="minorHAnsi"/>
          <w:color w:val="000000"/>
          <w:sz w:val="24"/>
          <w:szCs w:val="24"/>
        </w:rPr>
        <w:t>(</w:t>
      </w:r>
      <w:r w:rsidR="001C085E" w:rsidRPr="001C085E">
        <w:rPr>
          <w:rFonts w:asciiTheme="minorHAnsi" w:eastAsia="+mn-ea" w:hAnsiTheme="minorHAnsi" w:cstheme="minorHAnsi"/>
          <w:color w:val="000000"/>
          <w:sz w:val="24"/>
          <w:szCs w:val="24"/>
        </w:rPr>
        <w:t>Kaplan and Norton</w:t>
      </w:r>
      <w:proofErr w:type="gramStart"/>
      <w:r w:rsidR="008F4DAF">
        <w:rPr>
          <w:rFonts w:asciiTheme="minorHAnsi" w:eastAsia="+mn-ea" w:hAnsiTheme="minorHAnsi" w:cstheme="minorHAnsi"/>
          <w:color w:val="000000"/>
          <w:sz w:val="24"/>
          <w:szCs w:val="24"/>
        </w:rPr>
        <w:t>,1</w:t>
      </w:r>
      <w:r w:rsidR="001C085E" w:rsidRPr="001C085E">
        <w:rPr>
          <w:rFonts w:asciiTheme="minorHAnsi" w:eastAsia="+mn-ea" w:hAnsiTheme="minorHAnsi" w:cstheme="minorHAnsi"/>
          <w:color w:val="000000"/>
          <w:sz w:val="24"/>
          <w:szCs w:val="24"/>
        </w:rPr>
        <w:t>992</w:t>
      </w:r>
      <w:r w:rsidR="00DE5379">
        <w:rPr>
          <w:rFonts w:asciiTheme="minorHAnsi" w:eastAsia="+mn-ea" w:hAnsiTheme="minorHAnsi" w:cstheme="minorHAnsi"/>
          <w:color w:val="000000"/>
          <w:sz w:val="24"/>
          <w:szCs w:val="24"/>
        </w:rPr>
        <w:t>,1996</w:t>
      </w:r>
      <w:proofErr w:type="gramEnd"/>
      <w:r w:rsidR="008F4DAF">
        <w:rPr>
          <w:rFonts w:asciiTheme="minorHAnsi" w:eastAsia="+mn-ea" w:hAnsiTheme="minorHAnsi" w:cstheme="minorHAnsi"/>
          <w:color w:val="000000"/>
          <w:sz w:val="24"/>
          <w:szCs w:val="24"/>
        </w:rPr>
        <w:t>.)</w:t>
      </w:r>
      <w:r w:rsidR="001C085E" w:rsidRPr="001C085E">
        <w:rPr>
          <w:rFonts w:asciiTheme="minorHAnsi" w:eastAsia="+mn-ea" w:hAnsiTheme="minorHAnsi" w:cstheme="minorHAnsi"/>
          <w:color w:val="000000"/>
          <w:sz w:val="24"/>
          <w:szCs w:val="24"/>
        </w:rPr>
        <w:t xml:space="preserve"> </w:t>
      </w:r>
      <w:r w:rsidR="003B5B45">
        <w:rPr>
          <w:rFonts w:eastAsia="SimSun" w:cs="Calibri"/>
          <w:sz w:val="24"/>
          <w:szCs w:val="24"/>
          <w:lang w:eastAsia="zh-CN"/>
        </w:rPr>
        <w:t>There have been attempts to introduce strategic models</w:t>
      </w:r>
      <w:r w:rsidR="00EA4728">
        <w:rPr>
          <w:rFonts w:eastAsia="SimSun" w:cs="Calibri"/>
          <w:sz w:val="24"/>
          <w:szCs w:val="24"/>
          <w:lang w:eastAsia="zh-CN"/>
        </w:rPr>
        <w:t xml:space="preserve"> into the voluntary sector</w:t>
      </w:r>
      <w:r w:rsidR="00314EE9">
        <w:rPr>
          <w:rFonts w:eastAsia="SimSun" w:cs="Calibri"/>
          <w:sz w:val="24"/>
          <w:szCs w:val="24"/>
          <w:lang w:eastAsia="zh-CN"/>
        </w:rPr>
        <w:t xml:space="preserve"> with a</w:t>
      </w:r>
      <w:r w:rsidR="003B5B45" w:rsidRPr="00E72DD2">
        <w:rPr>
          <w:rFonts w:eastAsia="Batang" w:cs="Calibri"/>
          <w:sz w:val="24"/>
          <w:szCs w:val="24"/>
          <w:lang w:eastAsia="ko-KR"/>
        </w:rPr>
        <w:t xml:space="preserve"> </w:t>
      </w:r>
      <w:r w:rsidR="003B5B45">
        <w:rPr>
          <w:rFonts w:eastAsia="Batang" w:cs="Calibri"/>
          <w:sz w:val="24"/>
          <w:szCs w:val="24"/>
          <w:lang w:eastAsia="ko-KR"/>
        </w:rPr>
        <w:t>few academics advocat</w:t>
      </w:r>
      <w:r w:rsidR="00314EE9">
        <w:rPr>
          <w:rFonts w:eastAsia="Batang" w:cs="Calibri"/>
          <w:sz w:val="24"/>
          <w:szCs w:val="24"/>
          <w:lang w:eastAsia="ko-KR"/>
        </w:rPr>
        <w:t>ing</w:t>
      </w:r>
      <w:r w:rsidR="003B5B45">
        <w:rPr>
          <w:rFonts w:eastAsia="Batang" w:cs="Calibri"/>
          <w:sz w:val="24"/>
          <w:szCs w:val="24"/>
          <w:lang w:eastAsia="ko-KR"/>
        </w:rPr>
        <w:t xml:space="preserve"> a more strategically-orientated approach. </w:t>
      </w:r>
      <w:proofErr w:type="spellStart"/>
      <w:r w:rsidR="003B5B45" w:rsidRPr="00E72DD2">
        <w:rPr>
          <w:rFonts w:eastAsia="Batang" w:cs="Calibri"/>
          <w:sz w:val="24"/>
          <w:szCs w:val="24"/>
          <w:lang w:eastAsia="ko-KR"/>
        </w:rPr>
        <w:t>Sawhill</w:t>
      </w:r>
      <w:proofErr w:type="spellEnd"/>
      <w:r w:rsidR="003B5B45" w:rsidRPr="00E72DD2">
        <w:rPr>
          <w:rFonts w:eastAsia="Batang" w:cs="Calibri"/>
          <w:sz w:val="24"/>
          <w:szCs w:val="24"/>
          <w:lang w:eastAsia="ko-KR"/>
        </w:rPr>
        <w:t xml:space="preserve"> and Williamson (2001) argue for a family of nine measures which link mission, vision, goals, strategies and programs of the organisation.  Epstein and </w:t>
      </w:r>
      <w:proofErr w:type="spellStart"/>
      <w:r w:rsidR="003B5B45" w:rsidRPr="00E72DD2">
        <w:rPr>
          <w:rFonts w:eastAsia="Batang" w:cs="Calibri"/>
          <w:sz w:val="24"/>
          <w:szCs w:val="24"/>
          <w:lang w:eastAsia="ko-KR"/>
        </w:rPr>
        <w:t>Buhovac</w:t>
      </w:r>
      <w:proofErr w:type="spellEnd"/>
      <w:r w:rsidR="003B5B45" w:rsidRPr="00E72DD2">
        <w:rPr>
          <w:rFonts w:eastAsia="Batang" w:cs="Calibri"/>
          <w:sz w:val="24"/>
          <w:szCs w:val="24"/>
          <w:lang w:eastAsia="ko-KR"/>
        </w:rPr>
        <w:t xml:space="preserve"> (2009) have taken the input/impact model and put it in the context of the mission, strategy and resources available to the organisation. By drawing linkage maps, they identify logical cause and effect relationships between inputs and outputs, outputs and outcomes.  </w:t>
      </w:r>
      <w:r w:rsidR="00175DA4" w:rsidRPr="00E72DD2">
        <w:rPr>
          <w:sz w:val="24"/>
          <w:szCs w:val="24"/>
        </w:rPr>
        <w:t xml:space="preserve">Kaplan (2001) has demonstrated how </w:t>
      </w:r>
      <w:r w:rsidR="00175DA4">
        <w:rPr>
          <w:sz w:val="24"/>
          <w:szCs w:val="24"/>
        </w:rPr>
        <w:t>the balanced scorecard</w:t>
      </w:r>
      <w:r w:rsidR="00175DA4" w:rsidRPr="00E72DD2">
        <w:rPr>
          <w:sz w:val="24"/>
          <w:szCs w:val="24"/>
        </w:rPr>
        <w:t xml:space="preserve"> can be modified to voluntary sector requirements. </w:t>
      </w:r>
      <w:r w:rsidR="00175DA4" w:rsidRPr="00E72DD2">
        <w:rPr>
          <w:rFonts w:eastAsia="Batang" w:cs="Calibri"/>
          <w:sz w:val="24"/>
          <w:szCs w:val="24"/>
          <w:lang w:eastAsia="ko-KR"/>
        </w:rPr>
        <w:t xml:space="preserve"> </w:t>
      </w:r>
    </w:p>
    <w:p w:rsidR="00003CE1" w:rsidRDefault="00003CE1" w:rsidP="00BF4DE4">
      <w:pPr>
        <w:ind w:firstLine="720"/>
        <w:rPr>
          <w:rFonts w:cs="Calibr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3327"/>
        <w:gridCol w:w="3827"/>
      </w:tblGrid>
      <w:tr w:rsidR="00175DA4" w:rsidRPr="0049529E" w:rsidTr="00625D62">
        <w:tc>
          <w:tcPr>
            <w:tcW w:w="9464" w:type="dxa"/>
            <w:gridSpan w:val="3"/>
          </w:tcPr>
          <w:p w:rsidR="00175DA4" w:rsidRPr="0049529E" w:rsidRDefault="00175DA4" w:rsidP="00625D62">
            <w:pPr>
              <w:spacing w:after="0" w:line="240" w:lineRule="auto"/>
              <w:rPr>
                <w:b/>
                <w:sz w:val="24"/>
                <w:szCs w:val="24"/>
              </w:rPr>
            </w:pPr>
            <w:r w:rsidRPr="0049529E">
              <w:rPr>
                <w:b/>
                <w:sz w:val="24"/>
                <w:szCs w:val="24"/>
              </w:rPr>
              <w:t xml:space="preserve">                            Performance measurement and management models</w:t>
            </w:r>
          </w:p>
        </w:tc>
      </w:tr>
      <w:tr w:rsidR="00175DA4" w:rsidRPr="0049529E" w:rsidTr="00625D62">
        <w:tc>
          <w:tcPr>
            <w:tcW w:w="2310" w:type="dxa"/>
          </w:tcPr>
          <w:p w:rsidR="00175DA4" w:rsidRPr="0049529E" w:rsidRDefault="00175DA4" w:rsidP="00625D62">
            <w:pPr>
              <w:spacing w:after="0" w:line="240" w:lineRule="auto"/>
              <w:rPr>
                <w:sz w:val="24"/>
                <w:szCs w:val="24"/>
              </w:rPr>
            </w:pPr>
          </w:p>
        </w:tc>
        <w:tc>
          <w:tcPr>
            <w:tcW w:w="3327" w:type="dxa"/>
          </w:tcPr>
          <w:p w:rsidR="00175DA4" w:rsidRPr="0049529E" w:rsidRDefault="00175DA4" w:rsidP="00625D62">
            <w:pPr>
              <w:spacing w:after="0" w:line="240" w:lineRule="auto"/>
              <w:rPr>
                <w:b/>
                <w:sz w:val="24"/>
                <w:szCs w:val="24"/>
              </w:rPr>
            </w:pPr>
            <w:r w:rsidRPr="0049529E">
              <w:rPr>
                <w:b/>
                <w:sz w:val="24"/>
                <w:szCs w:val="24"/>
              </w:rPr>
              <w:t xml:space="preserve"> General performance management</w:t>
            </w:r>
          </w:p>
        </w:tc>
        <w:tc>
          <w:tcPr>
            <w:tcW w:w="3827" w:type="dxa"/>
          </w:tcPr>
          <w:p w:rsidR="00175DA4" w:rsidRPr="0049529E" w:rsidRDefault="00175DA4" w:rsidP="00625D62">
            <w:pPr>
              <w:spacing w:after="0" w:line="240" w:lineRule="auto"/>
              <w:rPr>
                <w:b/>
                <w:sz w:val="24"/>
                <w:szCs w:val="24"/>
              </w:rPr>
            </w:pPr>
            <w:r w:rsidRPr="0049529E">
              <w:rPr>
                <w:b/>
                <w:sz w:val="24"/>
                <w:szCs w:val="24"/>
              </w:rPr>
              <w:t>Voluntary sector refinements</w:t>
            </w:r>
          </w:p>
        </w:tc>
      </w:tr>
      <w:tr w:rsidR="00175DA4" w:rsidRPr="0049529E" w:rsidTr="00625D62">
        <w:tc>
          <w:tcPr>
            <w:tcW w:w="2310" w:type="dxa"/>
          </w:tcPr>
          <w:p w:rsidR="00175DA4" w:rsidRPr="0049529E" w:rsidRDefault="00175DA4" w:rsidP="00625D62">
            <w:pPr>
              <w:spacing w:after="0" w:line="240" w:lineRule="auto"/>
              <w:rPr>
                <w:b/>
                <w:sz w:val="24"/>
                <w:szCs w:val="24"/>
              </w:rPr>
            </w:pPr>
            <w:r w:rsidRPr="0049529E">
              <w:rPr>
                <w:b/>
                <w:sz w:val="24"/>
                <w:szCs w:val="24"/>
              </w:rPr>
              <w:t>Financial measures</w:t>
            </w:r>
          </w:p>
        </w:tc>
        <w:tc>
          <w:tcPr>
            <w:tcW w:w="3327" w:type="dxa"/>
          </w:tcPr>
          <w:p w:rsidR="00175DA4" w:rsidRPr="0049529E" w:rsidRDefault="00175DA4" w:rsidP="00625D62">
            <w:pPr>
              <w:spacing w:after="0" w:line="240" w:lineRule="auto"/>
              <w:rPr>
                <w:sz w:val="24"/>
                <w:szCs w:val="24"/>
              </w:rPr>
            </w:pPr>
            <w:r w:rsidRPr="0049529E">
              <w:rPr>
                <w:sz w:val="24"/>
                <w:szCs w:val="24"/>
              </w:rPr>
              <w:t xml:space="preserve">Ratio analysis </w:t>
            </w:r>
          </w:p>
        </w:tc>
        <w:tc>
          <w:tcPr>
            <w:tcW w:w="3827" w:type="dxa"/>
          </w:tcPr>
          <w:p w:rsidR="00175DA4" w:rsidRPr="0049529E" w:rsidRDefault="00175DA4" w:rsidP="00625D62">
            <w:pPr>
              <w:spacing w:after="0" w:line="240" w:lineRule="auto"/>
              <w:rPr>
                <w:sz w:val="24"/>
                <w:szCs w:val="24"/>
              </w:rPr>
            </w:pPr>
            <w:r w:rsidRPr="0049529E">
              <w:rPr>
                <w:sz w:val="24"/>
                <w:szCs w:val="24"/>
              </w:rPr>
              <w:t>Administration to total cost ratios</w:t>
            </w:r>
          </w:p>
          <w:p w:rsidR="00175DA4" w:rsidRPr="0049529E" w:rsidRDefault="00175DA4" w:rsidP="00625D62">
            <w:pPr>
              <w:spacing w:after="0" w:line="240" w:lineRule="auto"/>
              <w:rPr>
                <w:sz w:val="24"/>
                <w:szCs w:val="24"/>
              </w:rPr>
            </w:pPr>
            <w:r w:rsidRPr="0049529E">
              <w:rPr>
                <w:sz w:val="24"/>
                <w:szCs w:val="24"/>
              </w:rPr>
              <w:t>Fundraising to cost of generating funds ratio</w:t>
            </w:r>
          </w:p>
        </w:tc>
      </w:tr>
      <w:tr w:rsidR="00175DA4" w:rsidRPr="0049529E" w:rsidTr="00625D62">
        <w:tc>
          <w:tcPr>
            <w:tcW w:w="2310" w:type="dxa"/>
          </w:tcPr>
          <w:p w:rsidR="00175DA4" w:rsidRPr="0049529E" w:rsidRDefault="00175DA4" w:rsidP="00625D62">
            <w:pPr>
              <w:spacing w:after="0" w:line="240" w:lineRule="auto"/>
              <w:rPr>
                <w:b/>
                <w:sz w:val="24"/>
                <w:szCs w:val="24"/>
              </w:rPr>
            </w:pPr>
            <w:r w:rsidRPr="0049529E">
              <w:rPr>
                <w:b/>
                <w:sz w:val="24"/>
                <w:szCs w:val="24"/>
              </w:rPr>
              <w:t>Financial and non-financial measures</w:t>
            </w:r>
            <w:r w:rsidR="00EA4728">
              <w:rPr>
                <w:b/>
                <w:sz w:val="24"/>
                <w:szCs w:val="24"/>
              </w:rPr>
              <w:t>/</w:t>
            </w:r>
            <w:r w:rsidR="003B5B45" w:rsidRPr="0049529E">
              <w:rPr>
                <w:b/>
                <w:sz w:val="24"/>
                <w:szCs w:val="24"/>
              </w:rPr>
              <w:t xml:space="preserve"> Cybernetic control</w:t>
            </w:r>
          </w:p>
        </w:tc>
        <w:tc>
          <w:tcPr>
            <w:tcW w:w="3327" w:type="dxa"/>
          </w:tcPr>
          <w:p w:rsidR="00175DA4" w:rsidRPr="0049529E" w:rsidRDefault="00175DA4" w:rsidP="00625D62">
            <w:pPr>
              <w:spacing w:after="0" w:line="240" w:lineRule="auto"/>
              <w:rPr>
                <w:sz w:val="24"/>
                <w:szCs w:val="24"/>
              </w:rPr>
            </w:pPr>
            <w:r w:rsidRPr="0049529E">
              <w:rPr>
                <w:sz w:val="24"/>
                <w:szCs w:val="24"/>
              </w:rPr>
              <w:t>Balanced scorecard (Kaplan and Norton, 1992</w:t>
            </w:r>
          </w:p>
        </w:tc>
        <w:tc>
          <w:tcPr>
            <w:tcW w:w="3827" w:type="dxa"/>
          </w:tcPr>
          <w:p w:rsidR="00175DA4" w:rsidRPr="0049529E" w:rsidRDefault="00175DA4" w:rsidP="000554C2">
            <w:pPr>
              <w:spacing w:after="0" w:line="240" w:lineRule="auto"/>
              <w:rPr>
                <w:sz w:val="24"/>
                <w:szCs w:val="24"/>
              </w:rPr>
            </w:pPr>
            <w:proofErr w:type="spellStart"/>
            <w:r w:rsidRPr="0049529E">
              <w:rPr>
                <w:sz w:val="24"/>
                <w:szCs w:val="24"/>
              </w:rPr>
              <w:t>SROI,Logic</w:t>
            </w:r>
            <w:proofErr w:type="spellEnd"/>
            <w:r w:rsidRPr="0049529E">
              <w:rPr>
                <w:sz w:val="24"/>
                <w:szCs w:val="24"/>
              </w:rPr>
              <w:t xml:space="preserve"> model</w:t>
            </w:r>
          </w:p>
        </w:tc>
      </w:tr>
      <w:tr w:rsidR="00175DA4" w:rsidRPr="0049529E" w:rsidTr="00625D62">
        <w:tc>
          <w:tcPr>
            <w:tcW w:w="2310" w:type="dxa"/>
          </w:tcPr>
          <w:p w:rsidR="00175DA4" w:rsidRPr="0049529E" w:rsidRDefault="00175DA4" w:rsidP="00625D62">
            <w:pPr>
              <w:spacing w:after="0" w:line="240" w:lineRule="auto"/>
              <w:rPr>
                <w:b/>
                <w:sz w:val="24"/>
                <w:szCs w:val="24"/>
              </w:rPr>
            </w:pPr>
            <w:r w:rsidRPr="0049529E">
              <w:rPr>
                <w:b/>
                <w:sz w:val="24"/>
                <w:szCs w:val="24"/>
              </w:rPr>
              <w:t>Strategic management</w:t>
            </w:r>
          </w:p>
        </w:tc>
        <w:tc>
          <w:tcPr>
            <w:tcW w:w="3327" w:type="dxa"/>
          </w:tcPr>
          <w:p w:rsidR="00175DA4" w:rsidRPr="0049529E" w:rsidRDefault="00175DA4" w:rsidP="00625D62">
            <w:pPr>
              <w:spacing w:after="0" w:line="240" w:lineRule="auto"/>
              <w:rPr>
                <w:sz w:val="24"/>
                <w:szCs w:val="24"/>
              </w:rPr>
            </w:pPr>
            <w:r w:rsidRPr="0049529E">
              <w:rPr>
                <w:sz w:val="24"/>
                <w:szCs w:val="24"/>
              </w:rPr>
              <w:t>Balanced scorecard (Kaplan and Norton,2000)</w:t>
            </w:r>
          </w:p>
          <w:p w:rsidR="00175DA4" w:rsidRPr="0049529E" w:rsidRDefault="003B5B45" w:rsidP="003B5B45">
            <w:pPr>
              <w:spacing w:after="0" w:line="240" w:lineRule="auto"/>
              <w:rPr>
                <w:sz w:val="24"/>
                <w:szCs w:val="24"/>
              </w:rPr>
            </w:pPr>
            <w:r>
              <w:rPr>
                <w:sz w:val="24"/>
                <w:szCs w:val="24"/>
              </w:rPr>
              <w:t>PCMS ( Ferreira and Otley, 2009)</w:t>
            </w:r>
          </w:p>
        </w:tc>
        <w:tc>
          <w:tcPr>
            <w:tcW w:w="3827" w:type="dxa"/>
          </w:tcPr>
          <w:p w:rsidR="00175DA4" w:rsidRPr="0049529E" w:rsidRDefault="00175DA4" w:rsidP="00625D62">
            <w:pPr>
              <w:spacing w:after="0" w:line="240" w:lineRule="auto"/>
              <w:rPr>
                <w:sz w:val="24"/>
                <w:szCs w:val="24"/>
              </w:rPr>
            </w:pPr>
            <w:r w:rsidRPr="0049529E">
              <w:rPr>
                <w:sz w:val="24"/>
                <w:szCs w:val="24"/>
              </w:rPr>
              <w:t>Outcomes based models linked to strategy</w:t>
            </w:r>
          </w:p>
        </w:tc>
      </w:tr>
    </w:tbl>
    <w:p w:rsidR="00BF4DE4" w:rsidRPr="00314EE9" w:rsidRDefault="00314EE9" w:rsidP="00002ABE">
      <w:pPr>
        <w:ind w:firstLine="720"/>
        <w:rPr>
          <w:rFonts w:asciiTheme="minorHAnsi" w:eastAsia="+mn-ea" w:hAnsiTheme="minorHAnsi" w:cstheme="minorHAnsi"/>
          <w:b/>
          <w:color w:val="000000"/>
          <w:sz w:val="24"/>
          <w:szCs w:val="24"/>
        </w:rPr>
      </w:pPr>
      <w:r w:rsidRPr="00314EE9">
        <w:rPr>
          <w:rFonts w:asciiTheme="minorHAnsi" w:eastAsia="+mn-ea" w:hAnsiTheme="minorHAnsi" w:cstheme="minorHAnsi"/>
          <w:b/>
          <w:color w:val="000000"/>
          <w:sz w:val="24"/>
          <w:szCs w:val="24"/>
        </w:rPr>
        <w:t xml:space="preserve">Table 1: </w:t>
      </w:r>
      <w:r w:rsidR="00300DA6">
        <w:rPr>
          <w:rFonts w:asciiTheme="minorHAnsi" w:eastAsia="+mn-ea" w:hAnsiTheme="minorHAnsi" w:cstheme="minorHAnsi"/>
          <w:b/>
          <w:color w:val="000000"/>
          <w:sz w:val="24"/>
          <w:szCs w:val="24"/>
        </w:rPr>
        <w:t>C</w:t>
      </w:r>
      <w:r w:rsidRPr="00314EE9">
        <w:rPr>
          <w:rFonts w:asciiTheme="minorHAnsi" w:eastAsia="+mn-ea" w:hAnsiTheme="minorHAnsi" w:cstheme="minorHAnsi"/>
          <w:b/>
          <w:color w:val="000000"/>
          <w:sz w:val="24"/>
          <w:szCs w:val="24"/>
        </w:rPr>
        <w:t>ompari</w:t>
      </w:r>
      <w:r w:rsidR="00300DA6">
        <w:rPr>
          <w:rFonts w:asciiTheme="minorHAnsi" w:eastAsia="+mn-ea" w:hAnsiTheme="minorHAnsi" w:cstheme="minorHAnsi"/>
          <w:b/>
          <w:color w:val="000000"/>
          <w:sz w:val="24"/>
          <w:szCs w:val="24"/>
        </w:rPr>
        <w:t>son of</w:t>
      </w:r>
      <w:r w:rsidRPr="00314EE9">
        <w:rPr>
          <w:rFonts w:asciiTheme="minorHAnsi" w:eastAsia="+mn-ea" w:hAnsiTheme="minorHAnsi" w:cstheme="minorHAnsi"/>
          <w:b/>
          <w:color w:val="000000"/>
          <w:sz w:val="24"/>
          <w:szCs w:val="24"/>
        </w:rPr>
        <w:t xml:space="preserve"> management control and voluntary sector literature</w:t>
      </w:r>
    </w:p>
    <w:p w:rsidR="00002ABE" w:rsidRDefault="003B5B45" w:rsidP="00002ABE">
      <w:pPr>
        <w:ind w:firstLine="720"/>
        <w:rPr>
          <w:rFonts w:cs="Calibri"/>
          <w:color w:val="000000"/>
          <w:sz w:val="24"/>
          <w:szCs w:val="24"/>
        </w:rPr>
      </w:pPr>
      <w:r>
        <w:rPr>
          <w:rFonts w:asciiTheme="minorHAnsi" w:eastAsia="+mn-ea" w:hAnsiTheme="minorHAnsi" w:cstheme="minorHAnsi"/>
          <w:color w:val="000000"/>
          <w:sz w:val="24"/>
          <w:szCs w:val="24"/>
        </w:rPr>
        <w:t xml:space="preserve">This research has chosen </w:t>
      </w:r>
      <w:r w:rsidR="00314EE9">
        <w:rPr>
          <w:rFonts w:asciiTheme="minorHAnsi" w:eastAsia="+mn-ea" w:hAnsiTheme="minorHAnsi" w:cstheme="minorHAnsi"/>
          <w:color w:val="000000"/>
          <w:sz w:val="24"/>
          <w:szCs w:val="24"/>
        </w:rPr>
        <w:t xml:space="preserve">a method of researching comprehensive management control systems, </w:t>
      </w:r>
      <w:r>
        <w:rPr>
          <w:rFonts w:asciiTheme="minorHAnsi" w:eastAsia="+mn-ea" w:hAnsiTheme="minorHAnsi" w:cstheme="minorHAnsi"/>
          <w:color w:val="000000"/>
          <w:sz w:val="24"/>
          <w:szCs w:val="24"/>
        </w:rPr>
        <w:t xml:space="preserve">the </w:t>
      </w:r>
      <w:r w:rsidR="00002ABE">
        <w:rPr>
          <w:rFonts w:asciiTheme="minorHAnsi" w:eastAsia="+mn-ea" w:hAnsiTheme="minorHAnsi" w:cstheme="minorHAnsi"/>
          <w:color w:val="000000"/>
          <w:sz w:val="24"/>
          <w:szCs w:val="24"/>
        </w:rPr>
        <w:t>Ferreira-</w:t>
      </w:r>
      <w:r w:rsidR="00002ABE" w:rsidRPr="00002ABE">
        <w:rPr>
          <w:rFonts w:asciiTheme="minorHAnsi" w:eastAsia="+mn-ea" w:hAnsiTheme="minorHAnsi" w:cstheme="minorHAnsi"/>
          <w:color w:val="000000"/>
          <w:sz w:val="24"/>
          <w:szCs w:val="24"/>
        </w:rPr>
        <w:t xml:space="preserve">Otley </w:t>
      </w:r>
      <w:r w:rsidR="002510B0">
        <w:rPr>
          <w:rFonts w:asciiTheme="minorHAnsi" w:eastAsia="+mn-ea" w:hAnsiTheme="minorHAnsi" w:cstheme="minorHAnsi"/>
          <w:color w:val="000000"/>
          <w:sz w:val="24"/>
          <w:szCs w:val="24"/>
        </w:rPr>
        <w:t xml:space="preserve">Performance </w:t>
      </w:r>
      <w:r w:rsidR="002510B0" w:rsidRPr="004C671C">
        <w:rPr>
          <w:rFonts w:cs="Calibri"/>
          <w:color w:val="000000"/>
          <w:sz w:val="24"/>
          <w:szCs w:val="24"/>
        </w:rPr>
        <w:t>Management and Control System</w:t>
      </w:r>
      <w:r w:rsidR="002510B0">
        <w:rPr>
          <w:rFonts w:cs="Calibri"/>
          <w:color w:val="000000"/>
          <w:sz w:val="24"/>
          <w:szCs w:val="24"/>
        </w:rPr>
        <w:t xml:space="preserve"> </w:t>
      </w:r>
      <w:r>
        <w:rPr>
          <w:rFonts w:cs="Calibri"/>
          <w:color w:val="000000"/>
          <w:sz w:val="24"/>
          <w:szCs w:val="24"/>
        </w:rPr>
        <w:t>(2009)</w:t>
      </w:r>
      <w:proofErr w:type="gramStart"/>
      <w:r w:rsidR="00314EE9">
        <w:rPr>
          <w:rFonts w:cs="Calibri"/>
          <w:color w:val="000000"/>
          <w:sz w:val="24"/>
          <w:szCs w:val="24"/>
        </w:rPr>
        <w:t xml:space="preserve">, </w:t>
      </w:r>
      <w:r>
        <w:rPr>
          <w:rFonts w:cs="Calibri"/>
          <w:color w:val="000000"/>
          <w:sz w:val="24"/>
          <w:szCs w:val="24"/>
        </w:rPr>
        <w:t xml:space="preserve"> to</w:t>
      </w:r>
      <w:proofErr w:type="gramEnd"/>
      <w:r>
        <w:rPr>
          <w:rFonts w:cs="Calibri"/>
          <w:color w:val="000000"/>
          <w:sz w:val="24"/>
          <w:szCs w:val="24"/>
        </w:rPr>
        <w:t xml:space="preserve"> assess how the performance of independent hospices is reported</w:t>
      </w:r>
      <w:r w:rsidR="003309A0">
        <w:rPr>
          <w:rFonts w:cs="Calibri"/>
          <w:color w:val="000000"/>
          <w:sz w:val="24"/>
          <w:szCs w:val="24"/>
        </w:rPr>
        <w:t xml:space="preserve"> in their statutory returns to the Charity Commission</w:t>
      </w:r>
      <w:r>
        <w:rPr>
          <w:rFonts w:cs="Calibri"/>
          <w:color w:val="000000"/>
          <w:sz w:val="24"/>
          <w:szCs w:val="24"/>
        </w:rPr>
        <w:t xml:space="preserve">. The model </w:t>
      </w:r>
      <w:r w:rsidR="00002ABE" w:rsidRPr="00002ABE">
        <w:rPr>
          <w:rFonts w:asciiTheme="minorHAnsi" w:eastAsia="+mn-ea" w:hAnsiTheme="minorHAnsi" w:cstheme="minorHAnsi"/>
          <w:color w:val="000000"/>
          <w:sz w:val="24"/>
          <w:szCs w:val="24"/>
        </w:rPr>
        <w:t xml:space="preserve">demonstrates how </w:t>
      </w:r>
      <w:r w:rsidR="00002ABE" w:rsidRPr="00002ABE">
        <w:rPr>
          <w:rFonts w:asciiTheme="minorHAnsi" w:eastAsia="Batang" w:hAnsiTheme="minorHAnsi" w:cstheme="minorHAnsi"/>
          <w:sz w:val="24"/>
          <w:szCs w:val="24"/>
          <w:lang w:eastAsia="ko-KR"/>
        </w:rPr>
        <w:t>mission needs to be aligned with strategy, key success factors with performance measures.</w:t>
      </w:r>
      <w:r w:rsidR="00002ABE" w:rsidRPr="00002ABE">
        <w:rPr>
          <w:rFonts w:asciiTheme="minorHAnsi" w:eastAsia="+mn-ea" w:hAnsiTheme="minorHAnsi" w:cstheme="minorHAnsi"/>
          <w:color w:val="000000"/>
          <w:sz w:val="24"/>
          <w:szCs w:val="24"/>
        </w:rPr>
        <w:t xml:space="preserve">  Moreover, strategic advantage is gained through integrating goals, strategy and operations through strategic performance measurement systems (SPMSs.)</w:t>
      </w:r>
      <w:r w:rsidR="003309A0">
        <w:rPr>
          <w:rFonts w:asciiTheme="minorHAnsi" w:eastAsia="+mn-ea" w:hAnsiTheme="minorHAnsi" w:cstheme="minorHAnsi"/>
          <w:color w:val="000000"/>
          <w:sz w:val="24"/>
          <w:szCs w:val="24"/>
        </w:rPr>
        <w:t xml:space="preserve"> </w:t>
      </w:r>
      <w:proofErr w:type="gramStart"/>
      <w:r w:rsidR="003309A0">
        <w:rPr>
          <w:rFonts w:asciiTheme="minorHAnsi" w:eastAsia="+mn-ea" w:hAnsiTheme="minorHAnsi" w:cstheme="minorHAnsi"/>
          <w:color w:val="000000"/>
          <w:sz w:val="24"/>
          <w:szCs w:val="24"/>
        </w:rPr>
        <w:t>T</w:t>
      </w:r>
      <w:r w:rsidR="00002ABE">
        <w:rPr>
          <w:sz w:val="24"/>
          <w:szCs w:val="24"/>
        </w:rPr>
        <w:t>he</w:t>
      </w:r>
      <w:proofErr w:type="gramEnd"/>
      <w:r w:rsidR="00002ABE">
        <w:rPr>
          <w:sz w:val="24"/>
          <w:szCs w:val="24"/>
        </w:rPr>
        <w:t xml:space="preserve"> </w:t>
      </w:r>
      <w:r w:rsidR="00242508">
        <w:rPr>
          <w:sz w:val="24"/>
          <w:szCs w:val="24"/>
        </w:rPr>
        <w:t xml:space="preserve">questions in the Summary Information Return </w:t>
      </w:r>
      <w:r w:rsidR="00002ABE">
        <w:rPr>
          <w:sz w:val="24"/>
          <w:szCs w:val="24"/>
        </w:rPr>
        <w:t xml:space="preserve">map with a good degree of coherence to </w:t>
      </w:r>
      <w:r w:rsidR="00002ABE" w:rsidRPr="004C671C">
        <w:rPr>
          <w:sz w:val="24"/>
          <w:szCs w:val="24"/>
        </w:rPr>
        <w:t xml:space="preserve">the </w:t>
      </w:r>
      <w:r w:rsidR="00002ABE">
        <w:rPr>
          <w:rFonts w:cs="Calibri"/>
          <w:color w:val="000000"/>
          <w:sz w:val="24"/>
          <w:szCs w:val="24"/>
        </w:rPr>
        <w:t>Ferreira</w:t>
      </w:r>
      <w:r w:rsidR="00242508">
        <w:rPr>
          <w:rFonts w:cs="Calibri"/>
          <w:color w:val="000000"/>
          <w:sz w:val="24"/>
          <w:szCs w:val="24"/>
        </w:rPr>
        <w:t>-</w:t>
      </w:r>
      <w:r w:rsidR="00002ABE">
        <w:rPr>
          <w:rFonts w:cs="Calibri"/>
          <w:color w:val="000000"/>
          <w:sz w:val="24"/>
          <w:szCs w:val="24"/>
        </w:rPr>
        <w:t xml:space="preserve"> </w:t>
      </w:r>
      <w:r w:rsidR="00242508">
        <w:rPr>
          <w:rFonts w:cs="Calibri"/>
          <w:color w:val="000000"/>
          <w:sz w:val="24"/>
          <w:szCs w:val="24"/>
        </w:rPr>
        <w:t xml:space="preserve">Otley </w:t>
      </w:r>
      <w:r w:rsidR="00002ABE">
        <w:rPr>
          <w:rFonts w:cs="Calibri"/>
          <w:color w:val="000000"/>
          <w:sz w:val="24"/>
          <w:szCs w:val="24"/>
        </w:rPr>
        <w:t xml:space="preserve">(2009) </w:t>
      </w:r>
      <w:r w:rsidR="00002ABE" w:rsidRPr="004C671C">
        <w:rPr>
          <w:rFonts w:cs="Calibri"/>
          <w:color w:val="000000"/>
          <w:sz w:val="24"/>
          <w:szCs w:val="24"/>
        </w:rPr>
        <w:t>Performance Management and Control System</w:t>
      </w:r>
      <w:r w:rsidR="00002ABE">
        <w:rPr>
          <w:rFonts w:cs="Calibri"/>
          <w:color w:val="000000"/>
          <w:sz w:val="24"/>
          <w:szCs w:val="24"/>
        </w:rPr>
        <w:t xml:space="preserve"> </w:t>
      </w:r>
      <w:r w:rsidR="00EA4728">
        <w:rPr>
          <w:rFonts w:cs="Calibri"/>
          <w:color w:val="000000"/>
          <w:sz w:val="24"/>
          <w:szCs w:val="24"/>
        </w:rPr>
        <w:t xml:space="preserve">(PCMS) </w:t>
      </w:r>
      <w:r w:rsidR="00242508">
        <w:rPr>
          <w:rFonts w:cs="Calibri"/>
          <w:color w:val="000000"/>
          <w:sz w:val="24"/>
          <w:szCs w:val="24"/>
        </w:rPr>
        <w:t xml:space="preserve">with the exception of </w:t>
      </w:r>
      <w:r w:rsidR="00002ABE">
        <w:rPr>
          <w:rFonts w:cs="Calibri"/>
          <w:color w:val="000000"/>
          <w:sz w:val="24"/>
          <w:szCs w:val="24"/>
        </w:rPr>
        <w:t>not requir</w:t>
      </w:r>
      <w:r w:rsidR="00242508">
        <w:rPr>
          <w:rFonts w:cs="Calibri"/>
          <w:color w:val="000000"/>
          <w:sz w:val="24"/>
          <w:szCs w:val="24"/>
        </w:rPr>
        <w:t>ing</w:t>
      </w:r>
      <w:r w:rsidR="00002ABE">
        <w:rPr>
          <w:rFonts w:cs="Calibri"/>
          <w:color w:val="000000"/>
          <w:sz w:val="24"/>
          <w:szCs w:val="24"/>
        </w:rPr>
        <w:t xml:space="preserve"> any specific measures</w:t>
      </w:r>
      <w:r w:rsidR="00BE0697">
        <w:rPr>
          <w:rFonts w:cs="Calibri"/>
          <w:color w:val="000000"/>
          <w:sz w:val="24"/>
          <w:szCs w:val="24"/>
        </w:rPr>
        <w:t>,</w:t>
      </w:r>
      <w:r w:rsidR="00DE5379">
        <w:rPr>
          <w:rFonts w:cs="Calibri"/>
          <w:color w:val="000000"/>
          <w:sz w:val="24"/>
          <w:szCs w:val="24"/>
        </w:rPr>
        <w:t xml:space="preserve"> as can be seen in </w:t>
      </w:r>
      <w:r w:rsidR="00EA4728">
        <w:rPr>
          <w:rFonts w:cs="Calibri"/>
          <w:color w:val="000000"/>
          <w:sz w:val="24"/>
          <w:szCs w:val="24"/>
        </w:rPr>
        <w:t xml:space="preserve">table </w:t>
      </w:r>
      <w:r w:rsidR="00DE5379">
        <w:rPr>
          <w:rFonts w:cs="Calibri"/>
          <w:color w:val="000000"/>
          <w:sz w:val="24"/>
          <w:szCs w:val="24"/>
        </w:rPr>
        <w:t xml:space="preserve">2 </w:t>
      </w:r>
      <w:r w:rsidR="00EA4728">
        <w:rPr>
          <w:rFonts w:cs="Calibri"/>
          <w:color w:val="000000"/>
          <w:sz w:val="24"/>
          <w:szCs w:val="24"/>
        </w:rPr>
        <w:t>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0"/>
        <w:gridCol w:w="1994"/>
        <w:gridCol w:w="5500"/>
      </w:tblGrid>
      <w:tr w:rsidR="00002ABE" w:rsidRPr="0049529E" w:rsidTr="00002ABE">
        <w:tc>
          <w:tcPr>
            <w:tcW w:w="1970" w:type="dxa"/>
          </w:tcPr>
          <w:p w:rsidR="00002ABE" w:rsidRPr="0049529E" w:rsidRDefault="00002ABE" w:rsidP="00002ABE">
            <w:pPr>
              <w:spacing w:after="0" w:line="240" w:lineRule="auto"/>
              <w:rPr>
                <w:b/>
              </w:rPr>
            </w:pPr>
            <w:r w:rsidRPr="0049529E">
              <w:rPr>
                <w:b/>
              </w:rPr>
              <w:lastRenderedPageBreak/>
              <w:t>Otley 1999</w:t>
            </w:r>
          </w:p>
        </w:tc>
        <w:tc>
          <w:tcPr>
            <w:tcW w:w="1994" w:type="dxa"/>
          </w:tcPr>
          <w:p w:rsidR="00002ABE" w:rsidRPr="0049529E" w:rsidRDefault="00002ABE" w:rsidP="00002ABE">
            <w:pPr>
              <w:spacing w:after="0" w:line="240" w:lineRule="auto"/>
              <w:rPr>
                <w:b/>
              </w:rPr>
            </w:pPr>
            <w:r w:rsidRPr="0049529E">
              <w:rPr>
                <w:b/>
              </w:rPr>
              <w:t>Ferreira &amp; Otley 2009</w:t>
            </w:r>
          </w:p>
        </w:tc>
        <w:tc>
          <w:tcPr>
            <w:tcW w:w="5500" w:type="dxa"/>
          </w:tcPr>
          <w:p w:rsidR="00002ABE" w:rsidRPr="0049529E" w:rsidRDefault="00002ABE" w:rsidP="00002ABE">
            <w:pPr>
              <w:spacing w:after="0" w:line="240" w:lineRule="auto"/>
              <w:rPr>
                <w:b/>
              </w:rPr>
            </w:pPr>
            <w:r w:rsidRPr="0049529E">
              <w:rPr>
                <w:b/>
              </w:rPr>
              <w:t>SIR questions</w:t>
            </w:r>
          </w:p>
        </w:tc>
      </w:tr>
      <w:tr w:rsidR="00002ABE" w:rsidRPr="0049529E" w:rsidTr="00002ABE">
        <w:tc>
          <w:tcPr>
            <w:tcW w:w="1970" w:type="dxa"/>
          </w:tcPr>
          <w:p w:rsidR="00002ABE" w:rsidRPr="0049529E" w:rsidRDefault="00002ABE" w:rsidP="00002ABE">
            <w:pPr>
              <w:spacing w:after="0" w:line="240" w:lineRule="auto"/>
            </w:pPr>
          </w:p>
        </w:tc>
        <w:tc>
          <w:tcPr>
            <w:tcW w:w="1994" w:type="dxa"/>
          </w:tcPr>
          <w:p w:rsidR="00002ABE" w:rsidRPr="0049529E" w:rsidRDefault="00002ABE" w:rsidP="00002ABE">
            <w:pPr>
              <w:spacing w:after="0" w:line="240" w:lineRule="auto"/>
            </w:pPr>
            <w:r w:rsidRPr="0049529E">
              <w:t>Vision</w:t>
            </w:r>
          </w:p>
        </w:tc>
        <w:tc>
          <w:tcPr>
            <w:tcW w:w="5500" w:type="dxa"/>
          </w:tcPr>
          <w:p w:rsidR="00002ABE" w:rsidRPr="0049529E" w:rsidRDefault="00002ABE" w:rsidP="00002ABE">
            <w:pPr>
              <w:autoSpaceDE w:val="0"/>
              <w:autoSpaceDN w:val="0"/>
              <w:adjustRightInd w:val="0"/>
              <w:spacing w:after="0" w:line="240" w:lineRule="auto"/>
              <w:ind w:left="720" w:hanging="720"/>
            </w:pPr>
            <w:r w:rsidRPr="0049529E">
              <w:rPr>
                <w:rFonts w:eastAsia="SimSun" w:cs="Arial"/>
                <w:lang w:eastAsia="zh-CN"/>
              </w:rPr>
              <w:t xml:space="preserve">Question 1 </w:t>
            </w:r>
            <w:proofErr w:type="gramStart"/>
            <w:r w:rsidRPr="0049529E">
              <w:rPr>
                <w:rFonts w:eastAsia="SimSun" w:cs="Arial"/>
                <w:lang w:eastAsia="zh-CN"/>
              </w:rPr>
              <w:t>-  What</w:t>
            </w:r>
            <w:proofErr w:type="gramEnd"/>
            <w:r w:rsidRPr="0049529E">
              <w:rPr>
                <w:rFonts w:eastAsia="SimSun" w:cs="Arial"/>
                <w:lang w:eastAsia="zh-CN"/>
              </w:rPr>
              <w:t xml:space="preserve"> are your charity's aims? </w:t>
            </w:r>
          </w:p>
        </w:tc>
      </w:tr>
      <w:tr w:rsidR="00002ABE" w:rsidRPr="0049529E" w:rsidTr="00002ABE">
        <w:tc>
          <w:tcPr>
            <w:tcW w:w="1970" w:type="dxa"/>
          </w:tcPr>
          <w:p w:rsidR="00002ABE" w:rsidRPr="0049529E" w:rsidRDefault="00002ABE" w:rsidP="00002ABE">
            <w:pPr>
              <w:spacing w:after="0" w:line="240" w:lineRule="auto"/>
            </w:pPr>
          </w:p>
        </w:tc>
        <w:tc>
          <w:tcPr>
            <w:tcW w:w="1994" w:type="dxa"/>
          </w:tcPr>
          <w:p w:rsidR="00002ABE" w:rsidRPr="0049529E" w:rsidRDefault="00002ABE" w:rsidP="00002ABE">
            <w:pPr>
              <w:spacing w:after="0" w:line="240" w:lineRule="auto"/>
            </w:pPr>
            <w:r w:rsidRPr="0049529E">
              <w:t>Key success factors</w:t>
            </w:r>
          </w:p>
        </w:tc>
        <w:tc>
          <w:tcPr>
            <w:tcW w:w="5500" w:type="dxa"/>
          </w:tcPr>
          <w:p w:rsidR="00002ABE" w:rsidRPr="0049529E" w:rsidRDefault="00002ABE" w:rsidP="00002ABE">
            <w:pPr>
              <w:spacing w:after="0" w:line="240" w:lineRule="auto"/>
            </w:pPr>
          </w:p>
        </w:tc>
      </w:tr>
      <w:tr w:rsidR="00002ABE" w:rsidRPr="0049529E" w:rsidTr="00002ABE">
        <w:tc>
          <w:tcPr>
            <w:tcW w:w="1970" w:type="dxa"/>
          </w:tcPr>
          <w:p w:rsidR="00002ABE" w:rsidRPr="0049529E" w:rsidRDefault="00002ABE" w:rsidP="00002ABE">
            <w:pPr>
              <w:spacing w:after="0" w:line="240" w:lineRule="auto"/>
            </w:pPr>
            <w:r w:rsidRPr="0049529E">
              <w:t>Strategies/plans</w:t>
            </w:r>
          </w:p>
        </w:tc>
        <w:tc>
          <w:tcPr>
            <w:tcW w:w="1994" w:type="dxa"/>
          </w:tcPr>
          <w:p w:rsidR="00002ABE" w:rsidRPr="0049529E" w:rsidRDefault="00002ABE" w:rsidP="00002ABE">
            <w:pPr>
              <w:spacing w:after="0" w:line="240" w:lineRule="auto"/>
            </w:pPr>
            <w:r w:rsidRPr="0049529E">
              <w:t>Strategies/Plans</w:t>
            </w:r>
          </w:p>
        </w:tc>
        <w:tc>
          <w:tcPr>
            <w:tcW w:w="5500" w:type="dxa"/>
          </w:tcPr>
          <w:p w:rsidR="00002ABE" w:rsidRPr="0049529E" w:rsidRDefault="00002ABE" w:rsidP="00002ABE">
            <w:pPr>
              <w:autoSpaceDE w:val="0"/>
              <w:autoSpaceDN w:val="0"/>
              <w:adjustRightInd w:val="0"/>
              <w:spacing w:after="0" w:line="240" w:lineRule="auto"/>
              <w:ind w:left="720" w:hanging="720"/>
            </w:pPr>
            <w:r w:rsidRPr="0049529E">
              <w:rPr>
                <w:rFonts w:eastAsia="SimSun" w:cs="Arial"/>
                <w:lang w:eastAsia="zh-CN"/>
              </w:rPr>
              <w:t xml:space="preserve">Question 3a - The charity's strategy What are the key elements of your charity's medium to long term strategy? </w:t>
            </w:r>
          </w:p>
        </w:tc>
      </w:tr>
      <w:tr w:rsidR="00002ABE" w:rsidRPr="0049529E" w:rsidTr="00002ABE">
        <w:tc>
          <w:tcPr>
            <w:tcW w:w="1970" w:type="dxa"/>
          </w:tcPr>
          <w:p w:rsidR="00002ABE" w:rsidRPr="0049529E" w:rsidRDefault="00002ABE" w:rsidP="00002ABE">
            <w:pPr>
              <w:spacing w:after="0" w:line="240" w:lineRule="auto"/>
            </w:pPr>
            <w:r w:rsidRPr="0049529E">
              <w:t>Processes/activities</w:t>
            </w:r>
          </w:p>
        </w:tc>
        <w:tc>
          <w:tcPr>
            <w:tcW w:w="1994" w:type="dxa"/>
          </w:tcPr>
          <w:p w:rsidR="00002ABE" w:rsidRPr="0049529E" w:rsidRDefault="00002ABE" w:rsidP="00002ABE">
            <w:pPr>
              <w:spacing w:after="0" w:line="240" w:lineRule="auto"/>
            </w:pPr>
            <w:r w:rsidRPr="0049529E">
              <w:t>Organisation structure</w:t>
            </w:r>
          </w:p>
        </w:tc>
        <w:tc>
          <w:tcPr>
            <w:tcW w:w="5500" w:type="dxa"/>
          </w:tcPr>
          <w:p w:rsidR="00002ABE" w:rsidRPr="0049529E" w:rsidRDefault="00002ABE" w:rsidP="00002ABE">
            <w:pPr>
              <w:autoSpaceDE w:val="0"/>
              <w:autoSpaceDN w:val="0"/>
              <w:adjustRightInd w:val="0"/>
              <w:spacing w:after="0" w:line="240" w:lineRule="auto"/>
              <w:ind w:left="720" w:hanging="720"/>
              <w:rPr>
                <w:rFonts w:eastAsia="SimSun" w:cs="Arial"/>
                <w:lang w:eastAsia="zh-CN"/>
              </w:rPr>
            </w:pPr>
            <w:r w:rsidRPr="0049529E">
              <w:rPr>
                <w:rFonts w:eastAsia="SimSun" w:cs="Arial"/>
                <w:lang w:eastAsia="zh-CN"/>
              </w:rPr>
              <w:t xml:space="preserve">Question 8 - The charity's governance </w:t>
            </w:r>
          </w:p>
          <w:p w:rsidR="00002ABE" w:rsidRPr="0049529E" w:rsidRDefault="00002ABE" w:rsidP="00002ABE">
            <w:pPr>
              <w:autoSpaceDE w:val="0"/>
              <w:autoSpaceDN w:val="0"/>
              <w:adjustRightInd w:val="0"/>
              <w:spacing w:after="0" w:line="240" w:lineRule="auto"/>
              <w:ind w:left="720" w:hanging="720"/>
            </w:pPr>
            <w:r w:rsidRPr="0049529E">
              <w:rPr>
                <w:rFonts w:eastAsia="SimSun" w:cs="Arial"/>
                <w:lang w:eastAsia="zh-CN"/>
              </w:rPr>
              <w:t xml:space="preserve">How does your charity ensure that its governance arrangements are appropriate and effective? </w:t>
            </w:r>
          </w:p>
        </w:tc>
      </w:tr>
      <w:tr w:rsidR="00002ABE" w:rsidRPr="0049529E" w:rsidTr="00002ABE">
        <w:tc>
          <w:tcPr>
            <w:tcW w:w="1970" w:type="dxa"/>
          </w:tcPr>
          <w:p w:rsidR="00002ABE" w:rsidRPr="0049529E" w:rsidRDefault="00002ABE" w:rsidP="00002ABE">
            <w:pPr>
              <w:spacing w:after="0" w:line="240" w:lineRule="auto"/>
            </w:pPr>
            <w:r w:rsidRPr="0049529E">
              <w:t>Performance measurement</w:t>
            </w:r>
          </w:p>
        </w:tc>
        <w:tc>
          <w:tcPr>
            <w:tcW w:w="1994" w:type="dxa"/>
          </w:tcPr>
          <w:p w:rsidR="00002ABE" w:rsidRPr="0049529E" w:rsidRDefault="00002ABE" w:rsidP="00002ABE">
            <w:pPr>
              <w:spacing w:after="0" w:line="240" w:lineRule="auto"/>
            </w:pPr>
            <w:r w:rsidRPr="0049529E">
              <w:t>Key performance measures</w:t>
            </w:r>
          </w:p>
        </w:tc>
        <w:tc>
          <w:tcPr>
            <w:tcW w:w="5500" w:type="dxa"/>
          </w:tcPr>
          <w:p w:rsidR="00002ABE" w:rsidRPr="0049529E" w:rsidRDefault="00002ABE" w:rsidP="00002ABE">
            <w:pPr>
              <w:autoSpaceDE w:val="0"/>
              <w:autoSpaceDN w:val="0"/>
              <w:adjustRightInd w:val="0"/>
              <w:spacing w:after="0" w:line="240" w:lineRule="auto"/>
              <w:ind w:left="720" w:hanging="720"/>
            </w:pPr>
            <w:r w:rsidRPr="0049529E">
              <w:rPr>
                <w:rFonts w:eastAsia="SimSun" w:cs="Arial"/>
                <w:lang w:eastAsia="zh-CN"/>
              </w:rPr>
              <w:t>Question 3b How does your charity measure the success of the strategy?</w:t>
            </w:r>
          </w:p>
        </w:tc>
      </w:tr>
      <w:tr w:rsidR="00002ABE" w:rsidRPr="0049529E" w:rsidTr="00002ABE">
        <w:tc>
          <w:tcPr>
            <w:tcW w:w="1970" w:type="dxa"/>
          </w:tcPr>
          <w:p w:rsidR="00002ABE" w:rsidRPr="0049529E" w:rsidRDefault="00002ABE" w:rsidP="00002ABE">
            <w:pPr>
              <w:spacing w:after="0" w:line="240" w:lineRule="auto"/>
            </w:pPr>
            <w:r w:rsidRPr="0049529E">
              <w:t>Targets</w:t>
            </w:r>
          </w:p>
        </w:tc>
        <w:tc>
          <w:tcPr>
            <w:tcW w:w="1994" w:type="dxa"/>
          </w:tcPr>
          <w:p w:rsidR="00002ABE" w:rsidRPr="0049529E" w:rsidRDefault="00002ABE" w:rsidP="00002ABE">
            <w:pPr>
              <w:spacing w:after="0" w:line="240" w:lineRule="auto"/>
            </w:pPr>
            <w:r w:rsidRPr="0049529E">
              <w:t>Targets</w:t>
            </w:r>
          </w:p>
        </w:tc>
        <w:tc>
          <w:tcPr>
            <w:tcW w:w="5500" w:type="dxa"/>
          </w:tcPr>
          <w:p w:rsidR="00002ABE" w:rsidRPr="0049529E" w:rsidRDefault="00002ABE" w:rsidP="00002ABE">
            <w:pPr>
              <w:autoSpaceDE w:val="0"/>
              <w:autoSpaceDN w:val="0"/>
              <w:adjustRightInd w:val="0"/>
              <w:spacing w:after="0" w:line="240" w:lineRule="auto"/>
              <w:ind w:left="720" w:hanging="720"/>
            </w:pPr>
            <w:r w:rsidRPr="0049529E">
              <w:rPr>
                <w:rFonts w:eastAsia="SimSun" w:cs="Arial"/>
                <w:lang w:eastAsia="zh-CN"/>
              </w:rPr>
              <w:t>Question 4 - What were your charity’s main annual objectives and were they achieved?</w:t>
            </w:r>
          </w:p>
        </w:tc>
      </w:tr>
      <w:tr w:rsidR="00002ABE" w:rsidRPr="0049529E" w:rsidTr="00002ABE">
        <w:tc>
          <w:tcPr>
            <w:tcW w:w="1970" w:type="dxa"/>
          </w:tcPr>
          <w:p w:rsidR="00002ABE" w:rsidRPr="0049529E" w:rsidRDefault="00002ABE" w:rsidP="00002ABE">
            <w:pPr>
              <w:spacing w:after="0" w:line="240" w:lineRule="auto"/>
            </w:pPr>
            <w:r w:rsidRPr="0049529E">
              <w:t>Information flows/feedback</w:t>
            </w:r>
          </w:p>
        </w:tc>
        <w:tc>
          <w:tcPr>
            <w:tcW w:w="1994" w:type="dxa"/>
          </w:tcPr>
          <w:p w:rsidR="00002ABE" w:rsidRPr="0049529E" w:rsidRDefault="00002ABE" w:rsidP="00002ABE">
            <w:pPr>
              <w:spacing w:after="0" w:line="240" w:lineRule="auto"/>
            </w:pPr>
            <w:r w:rsidRPr="0049529E">
              <w:t>Performance evaluation</w:t>
            </w:r>
          </w:p>
        </w:tc>
        <w:tc>
          <w:tcPr>
            <w:tcW w:w="5500" w:type="dxa"/>
          </w:tcPr>
          <w:p w:rsidR="00002ABE" w:rsidRPr="0049529E" w:rsidRDefault="00002ABE" w:rsidP="00002ABE">
            <w:pPr>
              <w:spacing w:after="0" w:line="240" w:lineRule="auto"/>
            </w:pPr>
            <w:r w:rsidRPr="0049529E">
              <w:rPr>
                <w:rFonts w:eastAsia="SimSun" w:cs="Arial"/>
                <w:lang w:eastAsia="zh-CN"/>
              </w:rPr>
              <w:t>Question 3b How does your charity measure the success of the strategy?</w:t>
            </w:r>
          </w:p>
        </w:tc>
      </w:tr>
      <w:tr w:rsidR="00002ABE" w:rsidRPr="0049529E" w:rsidTr="00002ABE">
        <w:tc>
          <w:tcPr>
            <w:tcW w:w="1970" w:type="dxa"/>
          </w:tcPr>
          <w:p w:rsidR="00002ABE" w:rsidRPr="0049529E" w:rsidRDefault="00002ABE" w:rsidP="00002ABE">
            <w:pPr>
              <w:spacing w:after="0" w:line="240" w:lineRule="auto"/>
            </w:pPr>
            <w:r w:rsidRPr="0049529E">
              <w:t>Reward systems</w:t>
            </w:r>
          </w:p>
        </w:tc>
        <w:tc>
          <w:tcPr>
            <w:tcW w:w="1994" w:type="dxa"/>
          </w:tcPr>
          <w:p w:rsidR="00002ABE" w:rsidRPr="0049529E" w:rsidRDefault="00002ABE" w:rsidP="00002ABE">
            <w:pPr>
              <w:spacing w:after="0" w:line="240" w:lineRule="auto"/>
            </w:pPr>
            <w:r w:rsidRPr="0049529E">
              <w:t>Reward systems</w:t>
            </w:r>
          </w:p>
        </w:tc>
        <w:tc>
          <w:tcPr>
            <w:tcW w:w="5500" w:type="dxa"/>
          </w:tcPr>
          <w:p w:rsidR="00002ABE" w:rsidRPr="0049529E" w:rsidRDefault="00002ABE" w:rsidP="00002ABE">
            <w:pPr>
              <w:spacing w:after="0" w:line="240" w:lineRule="auto"/>
            </w:pPr>
          </w:p>
        </w:tc>
      </w:tr>
      <w:tr w:rsidR="00002ABE" w:rsidRPr="0049529E" w:rsidTr="00002ABE">
        <w:tc>
          <w:tcPr>
            <w:tcW w:w="1970" w:type="dxa"/>
          </w:tcPr>
          <w:p w:rsidR="00002ABE" w:rsidRPr="0049529E" w:rsidRDefault="00002ABE" w:rsidP="00002ABE">
            <w:pPr>
              <w:spacing w:after="0" w:line="240" w:lineRule="auto"/>
            </w:pPr>
          </w:p>
        </w:tc>
        <w:tc>
          <w:tcPr>
            <w:tcW w:w="1994" w:type="dxa"/>
          </w:tcPr>
          <w:p w:rsidR="00002ABE" w:rsidRPr="0049529E" w:rsidRDefault="00002ABE" w:rsidP="00002ABE">
            <w:pPr>
              <w:spacing w:after="0" w:line="240" w:lineRule="auto"/>
            </w:pPr>
            <w:r w:rsidRPr="0049529E">
              <w:t>PMS use, change, systems, strength/coherence</w:t>
            </w:r>
          </w:p>
        </w:tc>
        <w:tc>
          <w:tcPr>
            <w:tcW w:w="5500" w:type="dxa"/>
          </w:tcPr>
          <w:p w:rsidR="00002ABE" w:rsidRPr="0049529E" w:rsidRDefault="00002ABE" w:rsidP="00002ABE">
            <w:pPr>
              <w:spacing w:after="0" w:line="240" w:lineRule="auto"/>
            </w:pPr>
          </w:p>
        </w:tc>
      </w:tr>
    </w:tbl>
    <w:p w:rsidR="00002ABE" w:rsidRPr="00314EE9" w:rsidRDefault="00314EE9" w:rsidP="00002ABE">
      <w:pPr>
        <w:ind w:firstLine="720"/>
        <w:rPr>
          <w:b/>
          <w:sz w:val="24"/>
          <w:szCs w:val="24"/>
        </w:rPr>
      </w:pPr>
      <w:r w:rsidRPr="00314EE9">
        <w:rPr>
          <w:b/>
          <w:sz w:val="24"/>
          <w:szCs w:val="24"/>
        </w:rPr>
        <w:t xml:space="preserve">Table 2: </w:t>
      </w:r>
      <w:r w:rsidR="00300DA6">
        <w:rPr>
          <w:b/>
          <w:sz w:val="24"/>
          <w:szCs w:val="24"/>
        </w:rPr>
        <w:t>Mapping of Ferr</w:t>
      </w:r>
      <w:r w:rsidRPr="00314EE9">
        <w:rPr>
          <w:b/>
          <w:sz w:val="24"/>
          <w:szCs w:val="24"/>
        </w:rPr>
        <w:t>e</w:t>
      </w:r>
      <w:r w:rsidR="00300DA6">
        <w:rPr>
          <w:b/>
          <w:sz w:val="24"/>
          <w:szCs w:val="24"/>
        </w:rPr>
        <w:t>i</w:t>
      </w:r>
      <w:r w:rsidRPr="00314EE9">
        <w:rPr>
          <w:b/>
          <w:sz w:val="24"/>
          <w:szCs w:val="24"/>
        </w:rPr>
        <w:t>ra and Otley PMCS (2009) to SIR questions</w:t>
      </w:r>
    </w:p>
    <w:p w:rsidR="00C2075D" w:rsidRPr="00832890" w:rsidRDefault="00C2075D" w:rsidP="00C2075D">
      <w:pPr>
        <w:spacing w:after="0"/>
        <w:rPr>
          <w:rFonts w:cs="Arial"/>
          <w:b/>
          <w:sz w:val="24"/>
          <w:szCs w:val="24"/>
          <w:lang w:eastAsia="en-GB"/>
        </w:rPr>
      </w:pPr>
      <w:r w:rsidRPr="00832890">
        <w:rPr>
          <w:rFonts w:cs="Arial"/>
          <w:b/>
          <w:sz w:val="28"/>
          <w:szCs w:val="28"/>
          <w:lang w:eastAsia="en-GB"/>
        </w:rPr>
        <w:t>Methodology</w:t>
      </w:r>
    </w:p>
    <w:p w:rsidR="00C2075D" w:rsidRPr="00832890" w:rsidRDefault="00C2075D" w:rsidP="00C2075D">
      <w:pPr>
        <w:spacing w:after="0"/>
        <w:rPr>
          <w:rFonts w:cs="Arial"/>
          <w:b/>
          <w:sz w:val="24"/>
          <w:szCs w:val="24"/>
          <w:lang w:eastAsia="en-GB"/>
        </w:rPr>
      </w:pPr>
    </w:p>
    <w:p w:rsidR="00C2075D" w:rsidRDefault="00C2075D" w:rsidP="00C2075D">
      <w:pPr>
        <w:spacing w:after="0"/>
        <w:ind w:firstLine="720"/>
        <w:rPr>
          <w:b/>
          <w:sz w:val="24"/>
          <w:szCs w:val="24"/>
        </w:rPr>
      </w:pPr>
      <w:r>
        <w:rPr>
          <w:rFonts w:cs="Arial"/>
          <w:sz w:val="24"/>
          <w:szCs w:val="24"/>
          <w:lang w:eastAsia="en-GB"/>
        </w:rPr>
        <w:t xml:space="preserve"> Q</w:t>
      </w:r>
      <w:r w:rsidRPr="00832890">
        <w:rPr>
          <w:rFonts w:cs="Arial"/>
          <w:sz w:val="24"/>
          <w:szCs w:val="24"/>
          <w:lang w:eastAsia="en-GB"/>
        </w:rPr>
        <w:t xml:space="preserve">ualitative analysis </w:t>
      </w:r>
      <w:r>
        <w:rPr>
          <w:rFonts w:cs="Arial"/>
          <w:sz w:val="24"/>
          <w:szCs w:val="24"/>
          <w:lang w:eastAsia="en-GB"/>
        </w:rPr>
        <w:t xml:space="preserve">has been </w:t>
      </w:r>
      <w:r w:rsidRPr="00832890">
        <w:rPr>
          <w:rFonts w:cs="Arial"/>
          <w:sz w:val="24"/>
          <w:szCs w:val="24"/>
          <w:lang w:eastAsia="en-GB"/>
        </w:rPr>
        <w:t xml:space="preserve">carried out </w:t>
      </w:r>
      <w:proofErr w:type="gramStart"/>
      <w:r w:rsidRPr="00832890">
        <w:rPr>
          <w:rFonts w:cs="Arial"/>
          <w:sz w:val="24"/>
          <w:szCs w:val="24"/>
          <w:lang w:eastAsia="en-GB"/>
        </w:rPr>
        <w:t>on  Summary</w:t>
      </w:r>
      <w:proofErr w:type="gramEnd"/>
      <w:r w:rsidRPr="00832890">
        <w:rPr>
          <w:rFonts w:cs="Arial"/>
          <w:sz w:val="24"/>
          <w:szCs w:val="24"/>
          <w:lang w:eastAsia="en-GB"/>
        </w:rPr>
        <w:t xml:space="preserve"> Information Returns (SIRs) </w:t>
      </w:r>
      <w:r w:rsidR="009F1F9F">
        <w:rPr>
          <w:rFonts w:cs="Arial"/>
          <w:sz w:val="24"/>
          <w:szCs w:val="24"/>
          <w:lang w:eastAsia="en-GB"/>
        </w:rPr>
        <w:t xml:space="preserve">and Trustees’ Annual reports (TARs) </w:t>
      </w:r>
      <w:r w:rsidRPr="00832890">
        <w:rPr>
          <w:rFonts w:cs="Arial"/>
          <w:sz w:val="24"/>
          <w:szCs w:val="24"/>
          <w:lang w:eastAsia="en-GB"/>
        </w:rPr>
        <w:t xml:space="preserve">of </w:t>
      </w:r>
      <w:r w:rsidR="009F1F9F">
        <w:rPr>
          <w:rFonts w:cs="Arial"/>
          <w:sz w:val="24"/>
          <w:szCs w:val="24"/>
          <w:lang w:eastAsia="en-GB"/>
        </w:rPr>
        <w:t xml:space="preserve">148 </w:t>
      </w:r>
      <w:r w:rsidRPr="00832890">
        <w:rPr>
          <w:rFonts w:cs="Arial"/>
          <w:sz w:val="24"/>
          <w:szCs w:val="24"/>
          <w:lang w:eastAsia="en-GB"/>
        </w:rPr>
        <w:t xml:space="preserve">English </w:t>
      </w:r>
      <w:r>
        <w:rPr>
          <w:rFonts w:cs="Arial"/>
          <w:sz w:val="24"/>
          <w:szCs w:val="24"/>
          <w:lang w:eastAsia="en-GB"/>
        </w:rPr>
        <w:t xml:space="preserve">and Welsh </w:t>
      </w:r>
      <w:r w:rsidRPr="00832890">
        <w:rPr>
          <w:rFonts w:cs="Arial"/>
          <w:sz w:val="24"/>
          <w:szCs w:val="24"/>
          <w:lang w:eastAsia="en-GB"/>
        </w:rPr>
        <w:t xml:space="preserve">independent hospices. These </w:t>
      </w:r>
      <w:r>
        <w:rPr>
          <w:rFonts w:cs="Arial"/>
          <w:sz w:val="24"/>
          <w:szCs w:val="24"/>
          <w:lang w:eastAsia="en-GB"/>
        </w:rPr>
        <w:t>were</w:t>
      </w:r>
      <w:r w:rsidRPr="00832890">
        <w:rPr>
          <w:rFonts w:cs="Arial"/>
          <w:sz w:val="24"/>
          <w:szCs w:val="24"/>
          <w:lang w:eastAsia="en-GB"/>
        </w:rPr>
        <w:t xml:space="preserve"> analysed by using </w:t>
      </w:r>
      <w:proofErr w:type="spellStart"/>
      <w:r w:rsidRPr="00832890">
        <w:rPr>
          <w:rFonts w:cs="Arial"/>
          <w:sz w:val="24"/>
          <w:szCs w:val="24"/>
          <w:lang w:eastAsia="en-GB"/>
        </w:rPr>
        <w:t>Nvivo</w:t>
      </w:r>
      <w:proofErr w:type="spellEnd"/>
      <w:r w:rsidRPr="00832890">
        <w:rPr>
          <w:rFonts w:cs="Arial"/>
          <w:sz w:val="24"/>
          <w:szCs w:val="24"/>
          <w:lang w:eastAsia="en-GB"/>
        </w:rPr>
        <w:t>, drawing upon literature from management accounting theory, voluntary sector performance measurement and charity reporti</w:t>
      </w:r>
      <w:r>
        <w:rPr>
          <w:rFonts w:cs="Arial"/>
          <w:sz w:val="24"/>
          <w:szCs w:val="24"/>
          <w:lang w:eastAsia="en-GB"/>
        </w:rPr>
        <w:t xml:space="preserve">ng. The analysis considered the </w:t>
      </w:r>
      <w:r w:rsidRPr="00832890">
        <w:rPr>
          <w:rFonts w:cs="Arial"/>
          <w:sz w:val="24"/>
          <w:szCs w:val="24"/>
          <w:lang w:eastAsia="en-GB"/>
        </w:rPr>
        <w:t xml:space="preserve">two questions: what </w:t>
      </w:r>
      <w:r>
        <w:rPr>
          <w:rFonts w:cs="Arial"/>
          <w:sz w:val="24"/>
          <w:szCs w:val="24"/>
          <w:lang w:eastAsia="en-GB"/>
        </w:rPr>
        <w:t>do independent hospices</w:t>
      </w:r>
      <w:r w:rsidRPr="00832890">
        <w:rPr>
          <w:rFonts w:cs="Arial"/>
          <w:sz w:val="24"/>
          <w:szCs w:val="24"/>
          <w:lang w:eastAsia="en-GB"/>
        </w:rPr>
        <w:t xml:space="preserve"> consider to be </w:t>
      </w:r>
      <w:r>
        <w:rPr>
          <w:rFonts w:cs="Arial"/>
          <w:sz w:val="24"/>
          <w:szCs w:val="24"/>
          <w:lang w:eastAsia="en-GB"/>
        </w:rPr>
        <w:t>‘</w:t>
      </w:r>
      <w:r w:rsidRPr="00832890">
        <w:rPr>
          <w:rFonts w:cs="Arial"/>
          <w:sz w:val="24"/>
          <w:szCs w:val="24"/>
          <w:lang w:eastAsia="en-GB"/>
        </w:rPr>
        <w:t>successful</w:t>
      </w:r>
      <w:r>
        <w:rPr>
          <w:rFonts w:cs="Arial"/>
          <w:sz w:val="24"/>
          <w:szCs w:val="24"/>
          <w:lang w:eastAsia="en-GB"/>
        </w:rPr>
        <w:t>’</w:t>
      </w:r>
      <w:r w:rsidRPr="00832890">
        <w:rPr>
          <w:rFonts w:cs="Arial"/>
          <w:sz w:val="24"/>
          <w:szCs w:val="24"/>
          <w:lang w:eastAsia="en-GB"/>
        </w:rPr>
        <w:t xml:space="preserve"> performance and </w:t>
      </w:r>
      <w:r>
        <w:rPr>
          <w:rFonts w:cs="Arial"/>
          <w:sz w:val="24"/>
          <w:szCs w:val="24"/>
          <w:lang w:eastAsia="en-GB"/>
        </w:rPr>
        <w:t xml:space="preserve">in what </w:t>
      </w:r>
      <w:r w:rsidRPr="00832890">
        <w:rPr>
          <w:rFonts w:cs="Arial"/>
          <w:sz w:val="24"/>
          <w:szCs w:val="24"/>
          <w:lang w:eastAsia="en-GB"/>
        </w:rPr>
        <w:t xml:space="preserve">ways </w:t>
      </w:r>
      <w:r>
        <w:rPr>
          <w:rFonts w:cs="Arial"/>
          <w:sz w:val="24"/>
          <w:szCs w:val="24"/>
          <w:lang w:eastAsia="en-GB"/>
        </w:rPr>
        <w:t>have they</w:t>
      </w:r>
      <w:r w:rsidRPr="00832890">
        <w:rPr>
          <w:rFonts w:cs="Arial"/>
          <w:sz w:val="24"/>
          <w:szCs w:val="24"/>
          <w:lang w:eastAsia="en-GB"/>
        </w:rPr>
        <w:t xml:space="preserve"> measured</w:t>
      </w:r>
      <w:r>
        <w:rPr>
          <w:rFonts w:cs="Arial"/>
          <w:sz w:val="24"/>
          <w:szCs w:val="24"/>
          <w:lang w:eastAsia="en-GB"/>
        </w:rPr>
        <w:t xml:space="preserve"> it?</w:t>
      </w:r>
    </w:p>
    <w:p w:rsidR="00C2075D" w:rsidRPr="00832890" w:rsidRDefault="00C2075D" w:rsidP="00C2075D">
      <w:pPr>
        <w:ind w:firstLine="720"/>
        <w:rPr>
          <w:sz w:val="24"/>
          <w:szCs w:val="24"/>
        </w:rPr>
      </w:pPr>
      <w:r>
        <w:rPr>
          <w:rFonts w:cs="Arial"/>
          <w:sz w:val="24"/>
          <w:szCs w:val="24"/>
          <w:lang w:eastAsia="en-GB"/>
        </w:rPr>
        <w:t>English and Welsh</w:t>
      </w:r>
      <w:r w:rsidRPr="00832890">
        <w:rPr>
          <w:rFonts w:cs="Arial"/>
          <w:sz w:val="24"/>
          <w:szCs w:val="24"/>
          <w:lang w:eastAsia="en-GB"/>
        </w:rPr>
        <w:t xml:space="preserve"> voluntary hospices were chosen as a sub-sector as they are a clearly defined group within the charity sector and share many characteristics of the sector as a whole.  Their umbrella organisation, </w:t>
      </w:r>
      <w:r w:rsidR="00583778">
        <w:rPr>
          <w:rFonts w:cs="Arial"/>
          <w:sz w:val="24"/>
          <w:szCs w:val="24"/>
          <w:lang w:eastAsia="en-GB"/>
        </w:rPr>
        <w:t xml:space="preserve">Hospice UK (formerly </w:t>
      </w:r>
      <w:r w:rsidRPr="00832890">
        <w:rPr>
          <w:rFonts w:cs="Arial"/>
          <w:sz w:val="24"/>
          <w:szCs w:val="24"/>
          <w:lang w:eastAsia="en-GB"/>
        </w:rPr>
        <w:t>Help the Hospices</w:t>
      </w:r>
      <w:r w:rsidR="00583778">
        <w:rPr>
          <w:rFonts w:cs="Arial"/>
          <w:sz w:val="24"/>
          <w:szCs w:val="24"/>
          <w:lang w:eastAsia="en-GB"/>
        </w:rPr>
        <w:t>)</w:t>
      </w:r>
      <w:r w:rsidRPr="00832890">
        <w:rPr>
          <w:rFonts w:cs="Arial"/>
          <w:sz w:val="24"/>
          <w:szCs w:val="24"/>
          <w:lang w:eastAsia="en-GB"/>
        </w:rPr>
        <w:t xml:space="preserve">, gives a collective voice for independent hospices for the sector (Help the Hospices, 2013.) </w:t>
      </w:r>
      <w:r>
        <w:rPr>
          <w:rFonts w:cs="Arial"/>
          <w:sz w:val="24"/>
          <w:szCs w:val="24"/>
          <w:lang w:eastAsia="en-GB"/>
        </w:rPr>
        <w:t>T</w:t>
      </w:r>
      <w:r w:rsidRPr="00832890">
        <w:rPr>
          <w:rFonts w:cs="Arial"/>
          <w:sz w:val="24"/>
          <w:szCs w:val="24"/>
          <w:lang w:eastAsia="en-GB"/>
        </w:rPr>
        <w:t xml:space="preserve">his also provides a definitive list of English </w:t>
      </w:r>
      <w:r>
        <w:rPr>
          <w:rFonts w:cs="Arial"/>
          <w:sz w:val="24"/>
          <w:szCs w:val="24"/>
          <w:lang w:eastAsia="en-GB"/>
        </w:rPr>
        <w:t xml:space="preserve">and Welsh </w:t>
      </w:r>
      <w:r w:rsidRPr="00832890">
        <w:rPr>
          <w:rFonts w:cs="Arial"/>
          <w:sz w:val="24"/>
          <w:szCs w:val="24"/>
          <w:lang w:eastAsia="en-GB"/>
        </w:rPr>
        <w:t>hospices and much information on</w:t>
      </w:r>
      <w:r>
        <w:rPr>
          <w:rFonts w:cs="Arial"/>
          <w:sz w:val="24"/>
          <w:szCs w:val="24"/>
          <w:lang w:eastAsia="en-GB"/>
        </w:rPr>
        <w:t xml:space="preserve"> the</w:t>
      </w:r>
      <w:r w:rsidRPr="00832890">
        <w:rPr>
          <w:rFonts w:cs="Arial"/>
          <w:sz w:val="24"/>
          <w:szCs w:val="24"/>
          <w:lang w:eastAsia="en-GB"/>
        </w:rPr>
        <w:t xml:space="preserve"> issues facing this sub-sector, including guidance on performance measurement. Hospices, as most charities, are simultaneously facing </w:t>
      </w:r>
      <w:r w:rsidRPr="00832890">
        <w:rPr>
          <w:rFonts w:cs="Arial"/>
          <w:sz w:val="24"/>
          <w:szCs w:val="24"/>
        </w:rPr>
        <w:t>funding pressures and increased demands for their services (Help the Hospices, 2013; NVCO</w:t>
      </w:r>
      <w:proofErr w:type="gramStart"/>
      <w:r w:rsidRPr="00832890">
        <w:rPr>
          <w:rFonts w:cs="Arial"/>
          <w:sz w:val="24"/>
          <w:szCs w:val="24"/>
        </w:rPr>
        <w:t>,2013</w:t>
      </w:r>
      <w:r>
        <w:rPr>
          <w:rFonts w:cs="Arial"/>
          <w:sz w:val="24"/>
          <w:szCs w:val="24"/>
        </w:rPr>
        <w:t>a</w:t>
      </w:r>
      <w:proofErr w:type="gramEnd"/>
      <w:r w:rsidRPr="00832890">
        <w:rPr>
          <w:rFonts w:cs="Arial"/>
          <w:sz w:val="24"/>
          <w:szCs w:val="24"/>
        </w:rPr>
        <w:t>.)</w:t>
      </w:r>
      <w:r w:rsidRPr="00832890">
        <w:rPr>
          <w:sz w:val="24"/>
          <w:szCs w:val="24"/>
        </w:rPr>
        <w:t xml:space="preserve"> The hospice sector remains dependent on donations from the public, particularly for smaller </w:t>
      </w:r>
      <w:r>
        <w:rPr>
          <w:sz w:val="24"/>
          <w:szCs w:val="24"/>
        </w:rPr>
        <w:t>hospices</w:t>
      </w:r>
      <w:r w:rsidRPr="00832890">
        <w:rPr>
          <w:sz w:val="24"/>
          <w:szCs w:val="24"/>
        </w:rPr>
        <w:t xml:space="preserve"> (45% of total income) and child hospices (61% of total income).   However, government funding is significant, especially for large</w:t>
      </w:r>
      <w:r>
        <w:rPr>
          <w:sz w:val="24"/>
          <w:szCs w:val="24"/>
        </w:rPr>
        <w:t xml:space="preserve"> </w:t>
      </w:r>
      <w:r w:rsidRPr="00832890">
        <w:rPr>
          <w:sz w:val="24"/>
          <w:szCs w:val="24"/>
        </w:rPr>
        <w:t>hospices but this peaked in 2008, dropping from 38% to 34% in 2010 (</w:t>
      </w:r>
      <w:r w:rsidRPr="00832890">
        <w:rPr>
          <w:rFonts w:cs="Arial"/>
          <w:sz w:val="24"/>
          <w:szCs w:val="24"/>
        </w:rPr>
        <w:t xml:space="preserve">Help the Hospices, 2013.) </w:t>
      </w:r>
      <w:r w:rsidRPr="00832890">
        <w:rPr>
          <w:sz w:val="24"/>
          <w:szCs w:val="24"/>
        </w:rPr>
        <w:t>Changing relationships with the public sector reflect issues shared by the charitable sector as a whole (Help the Hospices, 2013; NVCO, 2013</w:t>
      </w:r>
      <w:r>
        <w:rPr>
          <w:sz w:val="24"/>
          <w:szCs w:val="24"/>
        </w:rPr>
        <w:t>a</w:t>
      </w:r>
      <w:r w:rsidRPr="00832890">
        <w:rPr>
          <w:sz w:val="24"/>
          <w:szCs w:val="24"/>
        </w:rPr>
        <w:t xml:space="preserve">; Bruce and Chew, 2011.) Hospices are also typical of wider trends </w:t>
      </w:r>
      <w:r>
        <w:rPr>
          <w:sz w:val="24"/>
          <w:szCs w:val="24"/>
        </w:rPr>
        <w:t xml:space="preserve">within the voluntary sector </w:t>
      </w:r>
      <w:r w:rsidRPr="00832890">
        <w:rPr>
          <w:sz w:val="24"/>
          <w:szCs w:val="24"/>
        </w:rPr>
        <w:t xml:space="preserve">by actively </w:t>
      </w:r>
      <w:r w:rsidRPr="00832890">
        <w:rPr>
          <w:sz w:val="24"/>
          <w:szCs w:val="24"/>
        </w:rPr>
        <w:lastRenderedPageBreak/>
        <w:t>working to generate income from trading activity: 11% of adult and 6% of child hospices income is derived from trading profit. (Help the Hospices</w:t>
      </w:r>
      <w:proofErr w:type="gramStart"/>
      <w:r w:rsidRPr="00832890">
        <w:rPr>
          <w:sz w:val="24"/>
          <w:szCs w:val="24"/>
        </w:rPr>
        <w:t>,2013</w:t>
      </w:r>
      <w:proofErr w:type="gramEnd"/>
      <w:r w:rsidRPr="00832890">
        <w:rPr>
          <w:sz w:val="24"/>
          <w:szCs w:val="24"/>
        </w:rPr>
        <w:t xml:space="preserve">; Bruce and Chew, 2011.)  </w:t>
      </w:r>
    </w:p>
    <w:p w:rsidR="00C2075D" w:rsidRDefault="00C2075D" w:rsidP="00C2075D">
      <w:pPr>
        <w:ind w:firstLine="720"/>
        <w:rPr>
          <w:sz w:val="24"/>
          <w:szCs w:val="24"/>
        </w:rPr>
      </w:pPr>
      <w:r>
        <w:rPr>
          <w:sz w:val="24"/>
          <w:szCs w:val="24"/>
        </w:rPr>
        <w:t>Hospices also share many performance management issues with the voluntary sector as a whole.</w:t>
      </w:r>
      <w:r w:rsidRPr="006F31E7">
        <w:rPr>
          <w:sz w:val="24"/>
          <w:szCs w:val="24"/>
        </w:rPr>
        <w:t xml:space="preserve"> </w:t>
      </w:r>
      <w:r>
        <w:rPr>
          <w:sz w:val="24"/>
          <w:szCs w:val="24"/>
        </w:rPr>
        <w:t>Connolly and Hyndman (2003) acknowledged the difficulties of measuring charity sector performance. Goals are often expressed in vague terms, operational performance information is not easily verifiable, there is a high degree of complexity and subjectivity and shared costs can be manipulated.  Indeed, a hospice’s mission is intangible - t</w:t>
      </w:r>
      <w:r w:rsidRPr="004B0815">
        <w:rPr>
          <w:sz w:val="24"/>
          <w:szCs w:val="24"/>
        </w:rPr>
        <w:t xml:space="preserve">he concept of measuring a ‘good death’ </w:t>
      </w:r>
      <w:r>
        <w:rPr>
          <w:sz w:val="24"/>
          <w:szCs w:val="24"/>
        </w:rPr>
        <w:t>is</w:t>
      </w:r>
      <w:r w:rsidRPr="004B0815">
        <w:rPr>
          <w:sz w:val="24"/>
          <w:szCs w:val="24"/>
        </w:rPr>
        <w:t xml:space="preserve"> an anathema to many</w:t>
      </w:r>
      <w:r>
        <w:rPr>
          <w:sz w:val="24"/>
          <w:szCs w:val="24"/>
        </w:rPr>
        <w:t xml:space="preserve"> (</w:t>
      </w:r>
      <w:r w:rsidRPr="00CA2534">
        <w:rPr>
          <w:sz w:val="24"/>
          <w:szCs w:val="24"/>
        </w:rPr>
        <w:t>Johnson et al, 2011</w:t>
      </w:r>
      <w:r>
        <w:rPr>
          <w:sz w:val="24"/>
          <w:szCs w:val="24"/>
        </w:rPr>
        <w:t xml:space="preserve">.) The modern hospice movement is committed to holistic approaches to end of life care, meeting the physical, emotional and spiritual needs of patients and their families.   Cecily Saunders, who is credited with founding the modern hospice movement, wrote </w:t>
      </w:r>
    </w:p>
    <w:p w:rsidR="00C2075D" w:rsidRPr="007A7238" w:rsidRDefault="00C2075D" w:rsidP="00C2075D">
      <w:pPr>
        <w:ind w:firstLine="720"/>
        <w:rPr>
          <w:sz w:val="24"/>
          <w:szCs w:val="24"/>
        </w:rPr>
      </w:pPr>
      <w:r w:rsidRPr="007A7238">
        <w:rPr>
          <w:i/>
          <w:sz w:val="24"/>
          <w:szCs w:val="24"/>
        </w:rPr>
        <w:t xml:space="preserve">‘Palliative care is a philosophy based not on physical facilities but on attitudes and </w:t>
      </w:r>
      <w:proofErr w:type="gramStart"/>
      <w:r w:rsidRPr="007A7238">
        <w:rPr>
          <w:i/>
          <w:sz w:val="24"/>
          <w:szCs w:val="24"/>
        </w:rPr>
        <w:t>skills</w:t>
      </w:r>
      <w:r w:rsidRPr="007A7238">
        <w:rPr>
          <w:sz w:val="24"/>
          <w:szCs w:val="24"/>
        </w:rPr>
        <w:t>’(</w:t>
      </w:r>
      <w:proofErr w:type="gramEnd"/>
      <w:r w:rsidRPr="007A7238">
        <w:rPr>
          <w:sz w:val="24"/>
          <w:szCs w:val="24"/>
        </w:rPr>
        <w:t>Saunders, 2001 p432</w:t>
      </w:r>
      <w:r>
        <w:rPr>
          <w:sz w:val="24"/>
          <w:szCs w:val="24"/>
        </w:rPr>
        <w:t>.</w:t>
      </w:r>
      <w:r w:rsidRPr="007A7238">
        <w:rPr>
          <w:sz w:val="24"/>
          <w:szCs w:val="24"/>
        </w:rPr>
        <w:t>)</w:t>
      </w:r>
    </w:p>
    <w:p w:rsidR="00C2075D" w:rsidRDefault="00C2075D" w:rsidP="00C2075D">
      <w:pPr>
        <w:ind w:firstLine="720"/>
        <w:rPr>
          <w:sz w:val="24"/>
          <w:szCs w:val="24"/>
        </w:rPr>
      </w:pPr>
      <w:r w:rsidRPr="00275211">
        <w:rPr>
          <w:sz w:val="24"/>
          <w:szCs w:val="24"/>
        </w:rPr>
        <w:t>This is very clearly echoed in the aims</w:t>
      </w:r>
      <w:r w:rsidRPr="000B3BE0">
        <w:rPr>
          <w:sz w:val="24"/>
          <w:szCs w:val="24"/>
        </w:rPr>
        <w:t xml:space="preserve"> of individual independent hospices,</w:t>
      </w:r>
      <w:r>
        <w:rPr>
          <w:sz w:val="24"/>
          <w:szCs w:val="24"/>
        </w:rPr>
        <w:t xml:space="preserve"> as</w:t>
      </w:r>
      <w:r w:rsidRPr="000B3BE0">
        <w:rPr>
          <w:sz w:val="24"/>
          <w:szCs w:val="24"/>
        </w:rPr>
        <w:t xml:space="preserve"> expressed in their statutory returns</w:t>
      </w:r>
      <w:r>
        <w:rPr>
          <w:sz w:val="24"/>
          <w:szCs w:val="24"/>
        </w:rPr>
        <w:t>.</w:t>
      </w:r>
      <w:r w:rsidRPr="000B3BE0">
        <w:rPr>
          <w:sz w:val="24"/>
          <w:szCs w:val="24"/>
        </w:rPr>
        <w:t xml:space="preserve"> </w:t>
      </w:r>
      <w:r w:rsidRPr="0074573A">
        <w:rPr>
          <w:i/>
          <w:sz w:val="24"/>
          <w:szCs w:val="24"/>
        </w:rPr>
        <w:t>’</w:t>
      </w:r>
      <w:r>
        <w:rPr>
          <w:sz w:val="24"/>
          <w:szCs w:val="24"/>
        </w:rPr>
        <w:t xml:space="preserve">Dying is an important part of living. The last chapter of people’s lives is of high value and it strives for the best quality of life during this period </w:t>
      </w:r>
      <w:proofErr w:type="gramStart"/>
      <w:r>
        <w:rPr>
          <w:sz w:val="24"/>
          <w:szCs w:val="24"/>
        </w:rPr>
        <w:t>‘ (</w:t>
      </w:r>
      <w:proofErr w:type="spellStart"/>
      <w:proofErr w:type="gramEnd"/>
      <w:r>
        <w:rPr>
          <w:sz w:val="24"/>
          <w:szCs w:val="24"/>
        </w:rPr>
        <w:t>Hospiscare</w:t>
      </w:r>
      <w:proofErr w:type="spellEnd"/>
      <w:r>
        <w:rPr>
          <w:sz w:val="24"/>
          <w:szCs w:val="24"/>
        </w:rPr>
        <w:t>.)</w:t>
      </w:r>
      <w:r w:rsidRPr="000B3BE0">
        <w:rPr>
          <w:sz w:val="24"/>
          <w:szCs w:val="24"/>
        </w:rPr>
        <w:t xml:space="preserve"> </w:t>
      </w:r>
      <w:r>
        <w:rPr>
          <w:sz w:val="24"/>
          <w:szCs w:val="24"/>
        </w:rPr>
        <w:t xml:space="preserve"> They ‘</w:t>
      </w:r>
      <w:r w:rsidRPr="000B3BE0">
        <w:rPr>
          <w:sz w:val="24"/>
          <w:szCs w:val="24"/>
        </w:rPr>
        <w:t>aim</w:t>
      </w:r>
      <w:r>
        <w:rPr>
          <w:sz w:val="24"/>
          <w:szCs w:val="24"/>
        </w:rPr>
        <w:t xml:space="preserve"> to </w:t>
      </w:r>
      <w:r w:rsidRPr="000B3BE0">
        <w:rPr>
          <w:sz w:val="24"/>
          <w:szCs w:val="24"/>
        </w:rPr>
        <w:t>treasure life</w:t>
      </w:r>
      <w:r>
        <w:rPr>
          <w:sz w:val="24"/>
          <w:szCs w:val="24"/>
        </w:rPr>
        <w:t xml:space="preserve"> by improving the quality of life for those who have a life limiting illness’</w:t>
      </w:r>
      <w:r w:rsidRPr="000B3BE0">
        <w:rPr>
          <w:sz w:val="24"/>
          <w:szCs w:val="24"/>
        </w:rPr>
        <w:t xml:space="preserve"> </w:t>
      </w:r>
      <w:r>
        <w:rPr>
          <w:sz w:val="24"/>
          <w:szCs w:val="24"/>
        </w:rPr>
        <w:t>(</w:t>
      </w:r>
      <w:proofErr w:type="spellStart"/>
      <w:r>
        <w:rPr>
          <w:sz w:val="24"/>
          <w:szCs w:val="24"/>
        </w:rPr>
        <w:t>Willowburn</w:t>
      </w:r>
      <w:proofErr w:type="spellEnd"/>
      <w:r>
        <w:rPr>
          <w:sz w:val="24"/>
          <w:szCs w:val="24"/>
        </w:rPr>
        <w:t xml:space="preserve">) or in the case of children,  </w:t>
      </w:r>
      <w:r w:rsidRPr="000B3BE0">
        <w:rPr>
          <w:sz w:val="24"/>
          <w:szCs w:val="24"/>
        </w:rPr>
        <w:t>mak</w:t>
      </w:r>
      <w:r>
        <w:rPr>
          <w:sz w:val="24"/>
          <w:szCs w:val="24"/>
        </w:rPr>
        <w:t>e</w:t>
      </w:r>
      <w:r w:rsidRPr="000B3BE0">
        <w:rPr>
          <w:sz w:val="24"/>
          <w:szCs w:val="24"/>
        </w:rPr>
        <w:t xml:space="preserve">  ‘the most of short precious lives’</w:t>
      </w:r>
      <w:r>
        <w:rPr>
          <w:sz w:val="24"/>
          <w:szCs w:val="24"/>
        </w:rPr>
        <w:t xml:space="preserve"> (</w:t>
      </w:r>
      <w:proofErr w:type="spellStart"/>
      <w:r>
        <w:rPr>
          <w:sz w:val="24"/>
          <w:szCs w:val="24"/>
        </w:rPr>
        <w:t>Childrens</w:t>
      </w:r>
      <w:proofErr w:type="spellEnd"/>
      <w:r>
        <w:rPr>
          <w:sz w:val="24"/>
          <w:szCs w:val="24"/>
        </w:rPr>
        <w:t>’ South West) , ‘no matter how severe their disabilities ‘ (Zoe’s Place.)</w:t>
      </w:r>
      <w:r w:rsidRPr="000B3BE0">
        <w:rPr>
          <w:sz w:val="24"/>
          <w:szCs w:val="24"/>
        </w:rPr>
        <w:t xml:space="preserve"> </w:t>
      </w:r>
      <w:r>
        <w:rPr>
          <w:sz w:val="24"/>
          <w:szCs w:val="24"/>
        </w:rPr>
        <w:t xml:space="preserve">Their operations are complex, providing a variety of services from medical care and counselling to research and education. ‘We believe that our patients are whole people who have, in addition to their physical problems, psychological, emotional and spiritual needs that should be addressed in the course of their care’ (St Leonards.) Services are delivered in different ways, from in-patient hospital beds to outpatient </w:t>
      </w:r>
      <w:proofErr w:type="gramStart"/>
      <w:r>
        <w:rPr>
          <w:sz w:val="24"/>
          <w:szCs w:val="24"/>
        </w:rPr>
        <w:t>clinics,</w:t>
      </w:r>
      <w:proofErr w:type="gramEnd"/>
      <w:r>
        <w:rPr>
          <w:sz w:val="24"/>
          <w:szCs w:val="24"/>
        </w:rPr>
        <w:t xml:space="preserve"> home visits and telephone advice (Help the Hospices, 2013.) Measurement of standardised services is </w:t>
      </w:r>
      <w:r w:rsidR="008F4DAF">
        <w:rPr>
          <w:sz w:val="24"/>
          <w:szCs w:val="24"/>
        </w:rPr>
        <w:t>difficult</w:t>
      </w:r>
      <w:r>
        <w:rPr>
          <w:sz w:val="24"/>
          <w:szCs w:val="24"/>
        </w:rPr>
        <w:t xml:space="preserve"> as patient pathways are individual, complicated and not necessarily continuous.  As ‘each person is more than an illness,’ (Nottingham), they are ‘respecting the uniqueness of each person and family’ (Dorothy House.) Patient pathways are also shared with other health providers.  ‘We aim to help all patients achieve a good </w:t>
      </w:r>
      <w:proofErr w:type="spellStart"/>
      <w:r>
        <w:rPr>
          <w:sz w:val="24"/>
          <w:szCs w:val="24"/>
        </w:rPr>
        <w:t>death</w:t>
      </w:r>
      <w:proofErr w:type="gramStart"/>
      <w:r>
        <w:rPr>
          <w:sz w:val="24"/>
          <w:szCs w:val="24"/>
        </w:rPr>
        <w:t>..through</w:t>
      </w:r>
      <w:proofErr w:type="spellEnd"/>
      <w:proofErr w:type="gramEnd"/>
      <w:r>
        <w:rPr>
          <w:sz w:val="24"/>
          <w:szCs w:val="24"/>
        </w:rPr>
        <w:t xml:space="preserve"> direct provision of our services (and) through working collaboratively with other health care providers (St Michaels, Harrogate.)  As with other voluntary organisations, they have multiple stakeholders including patients, families, carers, staff and volunteers. They aim to ‘meet the needs of the whole family, from diagnosis to bereavement and beyond’ (</w:t>
      </w:r>
      <w:proofErr w:type="spellStart"/>
      <w:r>
        <w:rPr>
          <w:sz w:val="24"/>
          <w:szCs w:val="24"/>
        </w:rPr>
        <w:t>Demelza</w:t>
      </w:r>
      <w:proofErr w:type="spellEnd"/>
      <w:r>
        <w:rPr>
          <w:sz w:val="24"/>
          <w:szCs w:val="24"/>
        </w:rPr>
        <w:t>.)</w:t>
      </w:r>
    </w:p>
    <w:p w:rsidR="00583778" w:rsidRDefault="00C2075D" w:rsidP="00583778">
      <w:pPr>
        <w:ind w:firstLine="720"/>
        <w:rPr>
          <w:sz w:val="24"/>
          <w:szCs w:val="24"/>
        </w:rPr>
      </w:pPr>
      <w:r>
        <w:rPr>
          <w:sz w:val="24"/>
          <w:szCs w:val="24"/>
        </w:rPr>
        <w:t xml:space="preserve"> Hospices, as so many organisations within the voluntary sector, face increasing demands for performance measurement. Hospices</w:t>
      </w:r>
      <w:r w:rsidRPr="004B0815">
        <w:rPr>
          <w:sz w:val="24"/>
          <w:szCs w:val="24"/>
        </w:rPr>
        <w:t xml:space="preserve"> </w:t>
      </w:r>
      <w:r>
        <w:rPr>
          <w:sz w:val="24"/>
          <w:szCs w:val="24"/>
        </w:rPr>
        <w:t xml:space="preserve">value their </w:t>
      </w:r>
      <w:r w:rsidRPr="004B0815">
        <w:rPr>
          <w:sz w:val="24"/>
          <w:szCs w:val="24"/>
        </w:rPr>
        <w:t xml:space="preserve">independence </w:t>
      </w:r>
      <w:r>
        <w:rPr>
          <w:sz w:val="24"/>
          <w:szCs w:val="24"/>
        </w:rPr>
        <w:t xml:space="preserve">highly as it </w:t>
      </w:r>
      <w:r w:rsidRPr="004B0815">
        <w:rPr>
          <w:sz w:val="24"/>
          <w:szCs w:val="24"/>
        </w:rPr>
        <w:t>allows them to make a unique contribution, often at the forefront of innovation</w:t>
      </w:r>
      <w:r>
        <w:rPr>
          <w:sz w:val="24"/>
          <w:szCs w:val="24"/>
        </w:rPr>
        <w:t xml:space="preserve">, but many hospices are dependent on </w:t>
      </w:r>
      <w:r w:rsidRPr="004B0815">
        <w:rPr>
          <w:sz w:val="24"/>
          <w:szCs w:val="24"/>
        </w:rPr>
        <w:t>public sector funding</w:t>
      </w:r>
      <w:r>
        <w:rPr>
          <w:sz w:val="24"/>
          <w:szCs w:val="24"/>
        </w:rPr>
        <w:t xml:space="preserve">. With this dependence has come increased </w:t>
      </w:r>
      <w:r w:rsidRPr="004B0815">
        <w:rPr>
          <w:sz w:val="24"/>
          <w:szCs w:val="24"/>
        </w:rPr>
        <w:t>external demand for performance measurement</w:t>
      </w:r>
      <w:r>
        <w:rPr>
          <w:sz w:val="24"/>
          <w:szCs w:val="24"/>
        </w:rPr>
        <w:t xml:space="preserve">. </w:t>
      </w:r>
      <w:r w:rsidRPr="00CA2534">
        <w:rPr>
          <w:sz w:val="24"/>
          <w:szCs w:val="24"/>
        </w:rPr>
        <w:t xml:space="preserve">‘Measurement of the end of life is a key </w:t>
      </w:r>
      <w:r w:rsidRPr="00CA2534">
        <w:rPr>
          <w:sz w:val="24"/>
          <w:szCs w:val="24"/>
        </w:rPr>
        <w:lastRenderedPageBreak/>
        <w:t xml:space="preserve">lever for change and is essential if we are to monitor progress.  This will require measurement of structure, </w:t>
      </w:r>
      <w:r>
        <w:rPr>
          <w:sz w:val="24"/>
          <w:szCs w:val="24"/>
        </w:rPr>
        <w:t>process and outcomes of care’ (</w:t>
      </w:r>
      <w:r w:rsidRPr="00CA2534">
        <w:rPr>
          <w:sz w:val="24"/>
          <w:szCs w:val="24"/>
        </w:rPr>
        <w:t>E</w:t>
      </w:r>
      <w:r>
        <w:rPr>
          <w:sz w:val="24"/>
          <w:szCs w:val="24"/>
        </w:rPr>
        <w:t>nd of Life S</w:t>
      </w:r>
      <w:r w:rsidRPr="00CA2534">
        <w:rPr>
          <w:sz w:val="24"/>
          <w:szCs w:val="24"/>
        </w:rPr>
        <w:t>trategy, 2008 p14</w:t>
      </w:r>
      <w:r>
        <w:rPr>
          <w:sz w:val="24"/>
          <w:szCs w:val="24"/>
        </w:rPr>
        <w:t>.</w:t>
      </w:r>
      <w:r w:rsidRPr="00CA2534">
        <w:rPr>
          <w:sz w:val="24"/>
          <w:szCs w:val="24"/>
        </w:rPr>
        <w:t xml:space="preserve">)  Many </w:t>
      </w:r>
      <w:r>
        <w:rPr>
          <w:sz w:val="24"/>
          <w:szCs w:val="24"/>
        </w:rPr>
        <w:t xml:space="preserve">hospices </w:t>
      </w:r>
      <w:r w:rsidRPr="00CA2534">
        <w:rPr>
          <w:sz w:val="24"/>
          <w:szCs w:val="24"/>
        </w:rPr>
        <w:t xml:space="preserve">are also actively engaged in trading activities with increasing commercial awareness. A New </w:t>
      </w:r>
      <w:r>
        <w:rPr>
          <w:sz w:val="24"/>
          <w:szCs w:val="24"/>
        </w:rPr>
        <w:t>P</w:t>
      </w:r>
      <w:r w:rsidRPr="00CA2534">
        <w:rPr>
          <w:sz w:val="24"/>
          <w:szCs w:val="24"/>
        </w:rPr>
        <w:t>hilanthropic Capital study reported ‘The results culture at Sue Ryder is increasing, albeit from a low base’ (Johnson et al, 2011 p12.)</w:t>
      </w:r>
      <w:r>
        <w:rPr>
          <w:sz w:val="24"/>
          <w:szCs w:val="24"/>
        </w:rPr>
        <w:t xml:space="preserve"> </w:t>
      </w:r>
    </w:p>
    <w:p w:rsidR="00583778" w:rsidRDefault="00C2075D" w:rsidP="00583778">
      <w:pPr>
        <w:ind w:firstLine="720"/>
        <w:rPr>
          <w:sz w:val="24"/>
          <w:szCs w:val="24"/>
        </w:rPr>
      </w:pPr>
      <w:r w:rsidRPr="00CA2534">
        <w:rPr>
          <w:sz w:val="24"/>
          <w:szCs w:val="24"/>
        </w:rPr>
        <w:t xml:space="preserve"> </w:t>
      </w:r>
      <w:r w:rsidR="00583778" w:rsidRPr="00832890">
        <w:rPr>
          <w:sz w:val="24"/>
          <w:szCs w:val="24"/>
        </w:rPr>
        <w:t xml:space="preserve">The </w:t>
      </w:r>
      <w:r w:rsidR="00683ADF">
        <w:rPr>
          <w:sz w:val="24"/>
          <w:szCs w:val="24"/>
        </w:rPr>
        <w:t>h</w:t>
      </w:r>
      <w:r w:rsidR="00583778">
        <w:rPr>
          <w:sz w:val="24"/>
          <w:szCs w:val="24"/>
        </w:rPr>
        <w:t xml:space="preserve">ospice </w:t>
      </w:r>
      <w:r w:rsidR="00583778" w:rsidRPr="00832890">
        <w:rPr>
          <w:sz w:val="24"/>
          <w:szCs w:val="24"/>
        </w:rPr>
        <w:t>SIRs w</w:t>
      </w:r>
      <w:r w:rsidR="00583778">
        <w:rPr>
          <w:sz w:val="24"/>
          <w:szCs w:val="24"/>
        </w:rPr>
        <w:t xml:space="preserve">ere </w:t>
      </w:r>
      <w:r w:rsidR="00583778" w:rsidRPr="00832890">
        <w:rPr>
          <w:sz w:val="24"/>
          <w:szCs w:val="24"/>
        </w:rPr>
        <w:t>analysed by using thematic codes</w:t>
      </w:r>
      <w:r w:rsidR="00583778">
        <w:rPr>
          <w:sz w:val="24"/>
          <w:szCs w:val="24"/>
        </w:rPr>
        <w:t xml:space="preserve"> derived from the hospices’ own perspectives on their strategies and performance. </w:t>
      </w:r>
      <w:r w:rsidR="00583778" w:rsidRPr="00832890">
        <w:rPr>
          <w:sz w:val="24"/>
          <w:szCs w:val="24"/>
        </w:rPr>
        <w:t xml:space="preserve">Management accounting theory emphasises the alignment of mission, critical success factors and key measures </w:t>
      </w:r>
      <w:r w:rsidR="00583778">
        <w:rPr>
          <w:sz w:val="24"/>
          <w:szCs w:val="24"/>
        </w:rPr>
        <w:t>while providing</w:t>
      </w:r>
      <w:r w:rsidR="00583778" w:rsidRPr="00832890">
        <w:rPr>
          <w:sz w:val="24"/>
          <w:szCs w:val="24"/>
        </w:rPr>
        <w:t xml:space="preserve"> comprehensive, integrated financial and non-financial information. </w:t>
      </w:r>
      <w:r w:rsidR="00583778">
        <w:rPr>
          <w:sz w:val="24"/>
          <w:szCs w:val="24"/>
        </w:rPr>
        <w:t>By coding individual SIR questions, qualitative analysis could then be carried out across the questions, looking for alignment between aims, strategies, objectives and achievements. Similarly, comparisons could be drawn between how hospices consider they measure their strategies and how their presented the achievements of the previous year.</w:t>
      </w:r>
      <w:r w:rsidR="009F1F9F">
        <w:rPr>
          <w:sz w:val="24"/>
          <w:szCs w:val="24"/>
        </w:rPr>
        <w:t xml:space="preserve">  Hospice TARs were also </w:t>
      </w:r>
      <w:proofErr w:type="gramStart"/>
      <w:r w:rsidR="009F1F9F">
        <w:rPr>
          <w:sz w:val="24"/>
          <w:szCs w:val="24"/>
        </w:rPr>
        <w:t>analysed ,</w:t>
      </w:r>
      <w:proofErr w:type="gramEnd"/>
      <w:r w:rsidR="009F1F9F">
        <w:rPr>
          <w:sz w:val="24"/>
          <w:szCs w:val="24"/>
        </w:rPr>
        <w:t xml:space="preserve"> comparing the information provided to that of the SIRs for the same year.  </w:t>
      </w:r>
      <w:r w:rsidR="000471FE">
        <w:rPr>
          <w:sz w:val="24"/>
          <w:szCs w:val="24"/>
        </w:rPr>
        <w:t xml:space="preserve">This was also used to show how hospices compared to large charities generally </w:t>
      </w:r>
      <w:proofErr w:type="gramStart"/>
      <w:r w:rsidR="000471FE">
        <w:rPr>
          <w:sz w:val="24"/>
          <w:szCs w:val="24"/>
        </w:rPr>
        <w:t xml:space="preserve">by </w:t>
      </w:r>
      <w:r w:rsidR="009F1F9F">
        <w:rPr>
          <w:sz w:val="24"/>
          <w:szCs w:val="24"/>
        </w:rPr>
        <w:t xml:space="preserve"> compar</w:t>
      </w:r>
      <w:r w:rsidR="000471FE">
        <w:rPr>
          <w:sz w:val="24"/>
          <w:szCs w:val="24"/>
        </w:rPr>
        <w:t>ing</w:t>
      </w:r>
      <w:proofErr w:type="gramEnd"/>
      <w:r w:rsidR="009F1F9F">
        <w:rPr>
          <w:sz w:val="24"/>
          <w:szCs w:val="24"/>
        </w:rPr>
        <w:t xml:space="preserve"> results </w:t>
      </w:r>
      <w:r w:rsidR="000471FE">
        <w:rPr>
          <w:sz w:val="24"/>
          <w:szCs w:val="24"/>
        </w:rPr>
        <w:t>to those of</w:t>
      </w:r>
      <w:r w:rsidR="009F1F9F">
        <w:rPr>
          <w:sz w:val="24"/>
          <w:szCs w:val="24"/>
        </w:rPr>
        <w:t xml:space="preserve"> Connolly, </w:t>
      </w:r>
      <w:proofErr w:type="spellStart"/>
      <w:r w:rsidR="009F1F9F">
        <w:rPr>
          <w:sz w:val="24"/>
          <w:szCs w:val="24"/>
        </w:rPr>
        <w:t>Dhanai</w:t>
      </w:r>
      <w:proofErr w:type="spellEnd"/>
      <w:r w:rsidR="009F1F9F">
        <w:rPr>
          <w:sz w:val="24"/>
          <w:szCs w:val="24"/>
        </w:rPr>
        <w:t xml:space="preserve"> and Hyndman</w:t>
      </w:r>
      <w:r w:rsidR="000471FE">
        <w:rPr>
          <w:sz w:val="24"/>
          <w:szCs w:val="24"/>
        </w:rPr>
        <w:t>(2013.)</w:t>
      </w:r>
    </w:p>
    <w:p w:rsidR="00CC77B9" w:rsidRDefault="008A7628" w:rsidP="00583778">
      <w:pPr>
        <w:rPr>
          <w:sz w:val="24"/>
          <w:szCs w:val="24"/>
        </w:rPr>
      </w:pPr>
      <w:r w:rsidRPr="008A7628">
        <w:rPr>
          <w:b/>
          <w:sz w:val="28"/>
          <w:szCs w:val="28"/>
        </w:rPr>
        <w:t>Findings</w:t>
      </w:r>
    </w:p>
    <w:p w:rsidR="00C2075D" w:rsidRDefault="00C2075D" w:rsidP="009264B0">
      <w:pPr>
        <w:ind w:firstLine="720"/>
        <w:rPr>
          <w:sz w:val="24"/>
          <w:szCs w:val="24"/>
        </w:rPr>
      </w:pPr>
      <w:r>
        <w:rPr>
          <w:sz w:val="24"/>
          <w:szCs w:val="24"/>
        </w:rPr>
        <w:t>Despite criticisms of the</w:t>
      </w:r>
      <w:r w:rsidRPr="00832890">
        <w:rPr>
          <w:sz w:val="24"/>
          <w:szCs w:val="24"/>
        </w:rPr>
        <w:t xml:space="preserve"> Summary Information Returns (SIRs)</w:t>
      </w:r>
      <w:r>
        <w:rPr>
          <w:sz w:val="24"/>
          <w:szCs w:val="24"/>
        </w:rPr>
        <w:t xml:space="preserve"> that they duplicate information provided in the Trustees’ Annual Report</w:t>
      </w:r>
      <w:r w:rsidR="009264B0">
        <w:rPr>
          <w:sz w:val="24"/>
          <w:szCs w:val="24"/>
        </w:rPr>
        <w:t xml:space="preserve"> (TAR)</w:t>
      </w:r>
      <w:r>
        <w:rPr>
          <w:sz w:val="24"/>
          <w:szCs w:val="24"/>
        </w:rPr>
        <w:t>, they were selected as the most useful source of information to analyse the aims</w:t>
      </w:r>
      <w:r w:rsidR="008F4DAF">
        <w:rPr>
          <w:sz w:val="24"/>
          <w:szCs w:val="24"/>
        </w:rPr>
        <w:t>,</w:t>
      </w:r>
      <w:r>
        <w:rPr>
          <w:sz w:val="24"/>
          <w:szCs w:val="24"/>
        </w:rPr>
        <w:t xml:space="preserve"> strategies, objectives and achievements of independent hospices in England and Wales. This accounts for 148 of the 172 voluntary hospices identified by Help the Hospices (2010) in their analysis of hospice accounts. </w:t>
      </w:r>
      <w:r w:rsidR="00067C9D">
        <w:rPr>
          <w:sz w:val="24"/>
          <w:szCs w:val="24"/>
        </w:rPr>
        <w:t>T</w:t>
      </w:r>
      <w:r w:rsidRPr="00832890">
        <w:rPr>
          <w:sz w:val="24"/>
          <w:szCs w:val="24"/>
        </w:rPr>
        <w:t xml:space="preserve">he TAR is less useful </w:t>
      </w:r>
      <w:r>
        <w:rPr>
          <w:sz w:val="24"/>
          <w:szCs w:val="24"/>
        </w:rPr>
        <w:t xml:space="preserve">for comparison and analysis </w:t>
      </w:r>
      <w:r w:rsidRPr="00832890">
        <w:rPr>
          <w:sz w:val="24"/>
          <w:szCs w:val="24"/>
        </w:rPr>
        <w:t>as it does not include standardised questions but leaves interpretation open to the charity, guided only by loosely defined principles in the Statement of Recommended Practice (SORP</w:t>
      </w:r>
      <w:r>
        <w:rPr>
          <w:sz w:val="24"/>
          <w:szCs w:val="24"/>
        </w:rPr>
        <w:t>,</w:t>
      </w:r>
      <w:r w:rsidRPr="00832890">
        <w:rPr>
          <w:sz w:val="24"/>
          <w:szCs w:val="24"/>
        </w:rPr>
        <w:t xml:space="preserve"> 2005.)</w:t>
      </w:r>
      <w:r>
        <w:rPr>
          <w:sz w:val="24"/>
          <w:szCs w:val="24"/>
        </w:rPr>
        <w:t xml:space="preserve"> The SIRs on the other hand ask specific questions about the hospices’ aims, strategies,</w:t>
      </w:r>
      <w:r w:rsidRPr="004C671C">
        <w:rPr>
          <w:sz w:val="24"/>
          <w:szCs w:val="24"/>
        </w:rPr>
        <w:t xml:space="preserve"> </w:t>
      </w:r>
      <w:r>
        <w:rPr>
          <w:sz w:val="24"/>
          <w:szCs w:val="24"/>
        </w:rPr>
        <w:t>objectives and achievement</w:t>
      </w:r>
      <w:r w:rsidR="00067C9D">
        <w:rPr>
          <w:sz w:val="24"/>
          <w:szCs w:val="24"/>
        </w:rPr>
        <w:t>.</w:t>
      </w:r>
      <w:r>
        <w:rPr>
          <w:sz w:val="24"/>
          <w:szCs w:val="24"/>
        </w:rPr>
        <w:t xml:space="preserve"> In addition, they ask how hospices measure the success of the strategy</w:t>
      </w:r>
      <w:r w:rsidR="008F4DAF">
        <w:rPr>
          <w:sz w:val="24"/>
          <w:szCs w:val="24"/>
        </w:rPr>
        <w:t>;</w:t>
      </w:r>
      <w:r>
        <w:rPr>
          <w:sz w:val="24"/>
          <w:szCs w:val="24"/>
        </w:rPr>
        <w:t xml:space="preserve"> a question not directly answered in the TAR.  </w:t>
      </w:r>
    </w:p>
    <w:p w:rsidR="00C2075D" w:rsidRDefault="00C2075D" w:rsidP="00C2075D">
      <w:pPr>
        <w:ind w:firstLine="720"/>
        <w:rPr>
          <w:sz w:val="24"/>
          <w:szCs w:val="24"/>
        </w:rPr>
      </w:pPr>
      <w:r>
        <w:rPr>
          <w:sz w:val="24"/>
          <w:szCs w:val="24"/>
        </w:rPr>
        <w:t xml:space="preserve">In the independent hospice SIRs, there are no measures of efficiency as defined by Hyndman in his original research of 1990 and only twenty-three hospices make a reference to efficiency anywhere in the SIRs and then without elaboration or application in any specific way. A hospice’s primary concern is to enhance the quality of life at a time when medical treatment is no longer appropriate. The Chief Executive of Sue Ryder said </w:t>
      </w:r>
      <w:r>
        <w:t xml:space="preserve">that </w:t>
      </w:r>
      <w:r w:rsidRPr="00AF47D2">
        <w:rPr>
          <w:sz w:val="24"/>
          <w:szCs w:val="24"/>
        </w:rPr>
        <w:t>‘they are seeking the maximum possible well-being for users suffering various conditions’ (Johnson et al, 2011 p2</w:t>
      </w:r>
      <w:r>
        <w:rPr>
          <w:sz w:val="24"/>
          <w:szCs w:val="24"/>
        </w:rPr>
        <w:t>.</w:t>
      </w:r>
      <w:r w:rsidRPr="00AF47D2">
        <w:rPr>
          <w:sz w:val="24"/>
          <w:szCs w:val="24"/>
        </w:rPr>
        <w:t xml:space="preserve">). This presents difficulties </w:t>
      </w:r>
      <w:r>
        <w:rPr>
          <w:sz w:val="24"/>
          <w:szCs w:val="24"/>
        </w:rPr>
        <w:t xml:space="preserve">in measuring efficiency </w:t>
      </w:r>
      <w:r w:rsidRPr="00AF47D2">
        <w:rPr>
          <w:sz w:val="24"/>
          <w:szCs w:val="24"/>
        </w:rPr>
        <w:t>since a deterioration of such measures (</w:t>
      </w:r>
      <w:proofErr w:type="spellStart"/>
      <w:r w:rsidRPr="00AF47D2">
        <w:rPr>
          <w:sz w:val="24"/>
          <w:szCs w:val="24"/>
        </w:rPr>
        <w:t>eg</w:t>
      </w:r>
      <w:proofErr w:type="spellEnd"/>
      <w:r w:rsidRPr="00AF47D2">
        <w:rPr>
          <w:sz w:val="24"/>
          <w:szCs w:val="24"/>
        </w:rPr>
        <w:t xml:space="preserve"> mobility, level of consciousness) is ‘not in itself a measure of poor care’ (End of Life Care Strategy</w:t>
      </w:r>
      <w:proofErr w:type="gramStart"/>
      <w:r w:rsidRPr="00AF47D2">
        <w:rPr>
          <w:sz w:val="24"/>
          <w:szCs w:val="24"/>
        </w:rPr>
        <w:t>,2008</w:t>
      </w:r>
      <w:proofErr w:type="gramEnd"/>
      <w:r w:rsidRPr="00AF47D2">
        <w:rPr>
          <w:sz w:val="24"/>
          <w:szCs w:val="24"/>
        </w:rPr>
        <w:t xml:space="preserve"> p134</w:t>
      </w:r>
      <w:r>
        <w:rPr>
          <w:sz w:val="24"/>
          <w:szCs w:val="24"/>
        </w:rPr>
        <w:t>.</w:t>
      </w:r>
      <w:r w:rsidRPr="00AF47D2">
        <w:rPr>
          <w:sz w:val="24"/>
          <w:szCs w:val="24"/>
        </w:rPr>
        <w:t xml:space="preserve">) </w:t>
      </w:r>
      <w:r>
        <w:rPr>
          <w:sz w:val="24"/>
          <w:szCs w:val="24"/>
        </w:rPr>
        <w:t>Instead, in their aims the hospices express the values on which the hospice movement was founded.   They wish to ‘enable people to die with dignity and in comfort’ (</w:t>
      </w:r>
      <w:proofErr w:type="spellStart"/>
      <w:r>
        <w:rPr>
          <w:sz w:val="24"/>
          <w:szCs w:val="24"/>
        </w:rPr>
        <w:t>Shakespere</w:t>
      </w:r>
      <w:proofErr w:type="spellEnd"/>
      <w:r>
        <w:rPr>
          <w:sz w:val="24"/>
          <w:szCs w:val="24"/>
        </w:rPr>
        <w:t xml:space="preserve">) and ‘achieve a good death.’  </w:t>
      </w:r>
      <w:r>
        <w:rPr>
          <w:sz w:val="24"/>
          <w:szCs w:val="24"/>
        </w:rPr>
        <w:lastRenderedPageBreak/>
        <w:t>At a time when life is limited, they endeavour to help their patients ‘live life to the full’ (St Andrews.) During the child or young person’s journey through life to death, (they are) creating positive experiences along the way which become good memories for the future’ (Richard</w:t>
      </w:r>
      <w:r w:rsidR="008F4DAF">
        <w:rPr>
          <w:sz w:val="24"/>
          <w:szCs w:val="24"/>
        </w:rPr>
        <w:t xml:space="preserve"> House.) These are </w:t>
      </w:r>
      <w:r w:rsidR="004F01B9">
        <w:rPr>
          <w:sz w:val="24"/>
          <w:szCs w:val="24"/>
        </w:rPr>
        <w:t xml:space="preserve">clearly </w:t>
      </w:r>
      <w:r w:rsidR="008F4DAF">
        <w:rPr>
          <w:sz w:val="24"/>
          <w:szCs w:val="24"/>
        </w:rPr>
        <w:t>not easily measured.</w:t>
      </w:r>
    </w:p>
    <w:p w:rsidR="00C2075D" w:rsidRDefault="009264B0" w:rsidP="00C2075D">
      <w:pPr>
        <w:ind w:firstLine="720"/>
        <w:rPr>
          <w:sz w:val="24"/>
          <w:szCs w:val="24"/>
        </w:rPr>
      </w:pPr>
      <w:r>
        <w:rPr>
          <w:sz w:val="24"/>
          <w:szCs w:val="24"/>
        </w:rPr>
        <w:t>This is not to suggest that h</w:t>
      </w:r>
      <w:r w:rsidR="00C2075D">
        <w:rPr>
          <w:sz w:val="24"/>
          <w:szCs w:val="24"/>
        </w:rPr>
        <w:t>o</w:t>
      </w:r>
      <w:r>
        <w:rPr>
          <w:sz w:val="24"/>
          <w:szCs w:val="24"/>
        </w:rPr>
        <w:t>s</w:t>
      </w:r>
      <w:r w:rsidR="00C2075D">
        <w:rPr>
          <w:sz w:val="24"/>
          <w:szCs w:val="24"/>
        </w:rPr>
        <w:t>pices are not concerned to manage their resources responsibly. While there is a limited mention of any financial considerations in the hospices’ aims (Question 1), nearly three-quarters</w:t>
      </w:r>
      <w:r w:rsidR="00C2075D" w:rsidRPr="00284C6F">
        <w:rPr>
          <w:sz w:val="24"/>
          <w:szCs w:val="24"/>
        </w:rPr>
        <w:t xml:space="preserve"> of </w:t>
      </w:r>
      <w:r w:rsidR="00C2075D">
        <w:rPr>
          <w:sz w:val="24"/>
          <w:szCs w:val="24"/>
        </w:rPr>
        <w:t xml:space="preserve">independent </w:t>
      </w:r>
      <w:r w:rsidR="00C2075D" w:rsidRPr="00284C6F">
        <w:rPr>
          <w:sz w:val="24"/>
          <w:szCs w:val="24"/>
        </w:rPr>
        <w:t>hospices d</w:t>
      </w:r>
      <w:r w:rsidR="00C2075D">
        <w:rPr>
          <w:sz w:val="24"/>
          <w:szCs w:val="24"/>
        </w:rPr>
        <w:t>id</w:t>
      </w:r>
      <w:r w:rsidR="00C2075D" w:rsidRPr="00284C6F">
        <w:rPr>
          <w:sz w:val="24"/>
          <w:szCs w:val="24"/>
        </w:rPr>
        <w:t xml:space="preserve"> have some kind of financial strategy (Question 3a)</w:t>
      </w:r>
      <w:r w:rsidR="00C2075D">
        <w:rPr>
          <w:sz w:val="24"/>
          <w:szCs w:val="24"/>
        </w:rPr>
        <w:t xml:space="preserve">. This is mostly expressed in general terms such as ensuring financial stability and the need to diversify funding sources, particularly referring to the public sector and maintaining robust financial control.  This </w:t>
      </w:r>
      <w:r w:rsidR="00C2075D" w:rsidRPr="00284C6F">
        <w:rPr>
          <w:sz w:val="24"/>
          <w:szCs w:val="24"/>
        </w:rPr>
        <w:t>demonstrat</w:t>
      </w:r>
      <w:r w:rsidR="00C2075D">
        <w:rPr>
          <w:sz w:val="24"/>
          <w:szCs w:val="24"/>
        </w:rPr>
        <w:t>es</w:t>
      </w:r>
      <w:r w:rsidR="00C2075D" w:rsidRPr="00284C6F">
        <w:rPr>
          <w:sz w:val="24"/>
          <w:szCs w:val="24"/>
        </w:rPr>
        <w:t xml:space="preserve"> that </w:t>
      </w:r>
      <w:r w:rsidR="00C2075D">
        <w:rPr>
          <w:sz w:val="24"/>
          <w:szCs w:val="24"/>
        </w:rPr>
        <w:t>finance</w:t>
      </w:r>
      <w:r w:rsidR="00C2075D" w:rsidRPr="00284C6F">
        <w:rPr>
          <w:sz w:val="24"/>
          <w:szCs w:val="24"/>
        </w:rPr>
        <w:t xml:space="preserve"> is </w:t>
      </w:r>
      <w:r w:rsidR="00C2075D">
        <w:rPr>
          <w:sz w:val="24"/>
          <w:szCs w:val="24"/>
        </w:rPr>
        <w:t xml:space="preserve">considered to be </w:t>
      </w:r>
      <w:r w:rsidR="00C2075D" w:rsidRPr="00284C6F">
        <w:rPr>
          <w:sz w:val="24"/>
          <w:szCs w:val="24"/>
        </w:rPr>
        <w:t>an important facilitator of their mission; a means to an end rather than an end in itself</w:t>
      </w:r>
      <w:r w:rsidR="00C2075D">
        <w:rPr>
          <w:sz w:val="24"/>
          <w:szCs w:val="24"/>
        </w:rPr>
        <w:t xml:space="preserve"> (Kaplan, 2001.) Fourteen hospices use the term </w:t>
      </w:r>
      <w:proofErr w:type="gramStart"/>
      <w:r w:rsidR="00C2075D">
        <w:rPr>
          <w:sz w:val="24"/>
          <w:szCs w:val="24"/>
        </w:rPr>
        <w:t>‘efficiency’  within</w:t>
      </w:r>
      <w:proofErr w:type="gramEnd"/>
      <w:r w:rsidR="00C2075D">
        <w:rPr>
          <w:sz w:val="24"/>
          <w:szCs w:val="24"/>
        </w:rPr>
        <w:t xml:space="preserve"> their financial strategies  but only one refers to a detailed measure of cost per patient day (</w:t>
      </w:r>
      <w:proofErr w:type="spellStart"/>
      <w:r w:rsidR="00C2075D">
        <w:rPr>
          <w:sz w:val="24"/>
          <w:szCs w:val="24"/>
        </w:rPr>
        <w:t>Trinityflyde</w:t>
      </w:r>
      <w:proofErr w:type="spellEnd"/>
      <w:r w:rsidR="00C2075D">
        <w:rPr>
          <w:sz w:val="24"/>
          <w:szCs w:val="24"/>
        </w:rPr>
        <w:t xml:space="preserve">.) Moreover, any efficiency calculation is likely to be heavily distorted by not including one of their most valuable ‘inputs’: the volunteers whose contribution is valued at an estimated £112m throughout all UK independent hospices (Help the Hospices, 2013.)  </w:t>
      </w:r>
    </w:p>
    <w:p w:rsidR="009264B0" w:rsidRDefault="00C2075D" w:rsidP="00C2075D">
      <w:pPr>
        <w:ind w:firstLine="720"/>
        <w:rPr>
          <w:sz w:val="24"/>
          <w:szCs w:val="24"/>
        </w:rPr>
      </w:pPr>
      <w:r>
        <w:rPr>
          <w:sz w:val="24"/>
          <w:szCs w:val="24"/>
        </w:rPr>
        <w:t xml:space="preserve">Effectiveness, on the other hand, may be a more useful concept in this context but not as described by the logic model. The hospices do report ‘outputs’ in their SIRs such as numbers of patients, </w:t>
      </w:r>
      <w:r w:rsidR="009264B0">
        <w:rPr>
          <w:sz w:val="24"/>
          <w:szCs w:val="24"/>
        </w:rPr>
        <w:t xml:space="preserve"> admissions, referrals </w:t>
      </w:r>
      <w:r>
        <w:rPr>
          <w:sz w:val="24"/>
          <w:szCs w:val="24"/>
        </w:rPr>
        <w:t>and participation in staff training. This is consistent with both a New Philanthropic Capital (NPC) report showing that over 80% of UK voluntary organisations surveyed used output measures (</w:t>
      </w:r>
      <w:proofErr w:type="spellStart"/>
      <w:r>
        <w:rPr>
          <w:sz w:val="24"/>
          <w:szCs w:val="24"/>
        </w:rPr>
        <w:t>Ogain</w:t>
      </w:r>
      <w:proofErr w:type="spellEnd"/>
      <w:r>
        <w:rPr>
          <w:sz w:val="24"/>
          <w:szCs w:val="24"/>
        </w:rPr>
        <w:t xml:space="preserve"> et al, 2012)</w:t>
      </w:r>
      <w:r w:rsidRPr="00412D6C">
        <w:rPr>
          <w:sz w:val="24"/>
          <w:szCs w:val="24"/>
        </w:rPr>
        <w:t xml:space="preserve"> </w:t>
      </w:r>
      <w:r>
        <w:rPr>
          <w:sz w:val="24"/>
          <w:szCs w:val="24"/>
        </w:rPr>
        <w:t>and Connolly and Hyndman’s (2013</w:t>
      </w:r>
      <w:r w:rsidR="00314EE9">
        <w:rPr>
          <w:sz w:val="24"/>
          <w:szCs w:val="24"/>
        </w:rPr>
        <w:t>a</w:t>
      </w:r>
      <w:r>
        <w:rPr>
          <w:sz w:val="24"/>
          <w:szCs w:val="24"/>
        </w:rPr>
        <w:t>) most recent research</w:t>
      </w:r>
      <w:r w:rsidR="00EA4728">
        <w:rPr>
          <w:sz w:val="24"/>
          <w:szCs w:val="24"/>
        </w:rPr>
        <w:t>.</w:t>
      </w:r>
      <w:r>
        <w:rPr>
          <w:sz w:val="24"/>
          <w:szCs w:val="24"/>
        </w:rPr>
        <w:t xml:space="preserve">  A</w:t>
      </w:r>
      <w:r w:rsidRPr="00AF47D2">
        <w:rPr>
          <w:sz w:val="24"/>
          <w:szCs w:val="24"/>
        </w:rPr>
        <w:t xml:space="preserve"> New Philanthropic Capital report </w:t>
      </w:r>
      <w:r>
        <w:rPr>
          <w:sz w:val="24"/>
          <w:szCs w:val="24"/>
        </w:rPr>
        <w:t>(Joy</w:t>
      </w:r>
      <w:proofErr w:type="gramStart"/>
      <w:r>
        <w:rPr>
          <w:sz w:val="24"/>
          <w:szCs w:val="24"/>
        </w:rPr>
        <w:t>,2004</w:t>
      </w:r>
      <w:proofErr w:type="gramEnd"/>
      <w:r>
        <w:rPr>
          <w:sz w:val="24"/>
          <w:szCs w:val="24"/>
        </w:rPr>
        <w:t>) into hospices</w:t>
      </w:r>
      <w:r w:rsidRPr="00AF47D2">
        <w:rPr>
          <w:sz w:val="24"/>
          <w:szCs w:val="24"/>
        </w:rPr>
        <w:t xml:space="preserve"> </w:t>
      </w:r>
      <w:r>
        <w:rPr>
          <w:sz w:val="24"/>
          <w:szCs w:val="24"/>
        </w:rPr>
        <w:t xml:space="preserve">put forward </w:t>
      </w:r>
      <w:r w:rsidRPr="00AF47D2">
        <w:rPr>
          <w:sz w:val="24"/>
          <w:szCs w:val="24"/>
        </w:rPr>
        <w:t xml:space="preserve">3 </w:t>
      </w:r>
      <w:r>
        <w:rPr>
          <w:sz w:val="24"/>
          <w:szCs w:val="24"/>
        </w:rPr>
        <w:t>possible</w:t>
      </w:r>
      <w:r w:rsidRPr="00AF47D2">
        <w:rPr>
          <w:sz w:val="24"/>
          <w:szCs w:val="24"/>
        </w:rPr>
        <w:t xml:space="preserve"> outcomes which might contribute to a ‘good death’:  quality of life, place of death and coping skills, for both patient and carer</w:t>
      </w:r>
      <w:r>
        <w:rPr>
          <w:sz w:val="24"/>
          <w:szCs w:val="24"/>
        </w:rPr>
        <w:t xml:space="preserve">. However, there is no evidence of a hospice reporting any direct relationship between outputs and outcomes in the SIRs, or effectiveness as defined by the </w:t>
      </w:r>
      <w:r w:rsidR="009264B0">
        <w:rPr>
          <w:sz w:val="24"/>
          <w:szCs w:val="24"/>
        </w:rPr>
        <w:t xml:space="preserve">public sector </w:t>
      </w:r>
      <w:r>
        <w:rPr>
          <w:sz w:val="24"/>
          <w:szCs w:val="24"/>
        </w:rPr>
        <w:t>logic model</w:t>
      </w:r>
      <w:r w:rsidR="00242508">
        <w:rPr>
          <w:sz w:val="24"/>
          <w:szCs w:val="24"/>
        </w:rPr>
        <w:t>.</w:t>
      </w:r>
    </w:p>
    <w:p w:rsidR="00EA4728" w:rsidRDefault="00C2075D" w:rsidP="00C2075D">
      <w:pPr>
        <w:ind w:firstLine="720"/>
        <w:rPr>
          <w:sz w:val="24"/>
          <w:szCs w:val="24"/>
        </w:rPr>
      </w:pPr>
      <w:r>
        <w:rPr>
          <w:sz w:val="24"/>
          <w:szCs w:val="24"/>
        </w:rPr>
        <w:t>The majority of hospices do however report some kind of achievement within their service provision of the previous year (Question 4).  This varies hugely from building of new facilities, appointment of staff and hosting conferences to implementing systems, accreditation of quality standards, and extending hours. Significantly fewer express this in a measurable way and very few express it as a comparative number (</w:t>
      </w:r>
      <w:proofErr w:type="spellStart"/>
      <w:r>
        <w:rPr>
          <w:sz w:val="24"/>
          <w:szCs w:val="24"/>
        </w:rPr>
        <w:t>eg</w:t>
      </w:r>
      <w:proofErr w:type="spellEnd"/>
      <w:r>
        <w:rPr>
          <w:sz w:val="24"/>
          <w:szCs w:val="24"/>
        </w:rPr>
        <w:t xml:space="preserve"> increase on previous year.) Achievements have been considered poor indicators of performance when judged in the context of the logic model (Connolly and Hyndman</w:t>
      </w:r>
      <w:proofErr w:type="gramStart"/>
      <w:r>
        <w:rPr>
          <w:sz w:val="24"/>
          <w:szCs w:val="24"/>
        </w:rPr>
        <w:t>,2003</w:t>
      </w:r>
      <w:proofErr w:type="gramEnd"/>
      <w:r>
        <w:rPr>
          <w:sz w:val="24"/>
          <w:szCs w:val="24"/>
        </w:rPr>
        <w:t xml:space="preserve">.) However, management accounting theory would suggest that comparing achievement against plan is a credible indicator of effectiveness. Anthony and </w:t>
      </w:r>
      <w:proofErr w:type="spellStart"/>
      <w:r>
        <w:rPr>
          <w:sz w:val="24"/>
          <w:szCs w:val="24"/>
        </w:rPr>
        <w:t>Govindarajan</w:t>
      </w:r>
      <w:proofErr w:type="spellEnd"/>
      <w:r>
        <w:rPr>
          <w:sz w:val="24"/>
          <w:szCs w:val="24"/>
        </w:rPr>
        <w:t xml:space="preserve"> (2007 p150) contend that in any sector, ‘since objectives and outputs are difficult to quantify, effectiveness tends to be expressed in subjective, non-analytical terms.’  To assess how effective the hospices have been, a comparison of achievements to their stated aims and strategies might give a better indication of hospice effectiveness.</w:t>
      </w:r>
      <w:r w:rsidRPr="00E72DD2">
        <w:rPr>
          <w:sz w:val="24"/>
          <w:szCs w:val="24"/>
        </w:rPr>
        <w:t xml:space="preserve"> </w:t>
      </w:r>
    </w:p>
    <w:p w:rsidR="006D7085" w:rsidRDefault="00C2075D" w:rsidP="00C2075D">
      <w:pPr>
        <w:ind w:firstLine="720"/>
        <w:rPr>
          <w:sz w:val="24"/>
          <w:szCs w:val="24"/>
        </w:rPr>
      </w:pPr>
      <w:r>
        <w:rPr>
          <w:sz w:val="24"/>
          <w:szCs w:val="24"/>
        </w:rPr>
        <w:lastRenderedPageBreak/>
        <w:t xml:space="preserve">Analysis was therefore carried out across the hospice SIR questions, comparing aims, strategies, objectives and achievements by each hospice.  </w:t>
      </w:r>
      <w:r w:rsidR="00EA4728">
        <w:rPr>
          <w:sz w:val="24"/>
          <w:szCs w:val="24"/>
        </w:rPr>
        <w:t>When current year achievements are compared to objectives, there are high levels of alignment. These are included as answers to one question</w:t>
      </w:r>
      <w:r w:rsidR="00631850">
        <w:rPr>
          <w:sz w:val="24"/>
          <w:szCs w:val="24"/>
        </w:rPr>
        <w:t xml:space="preserve"> (Question 4)</w:t>
      </w:r>
      <w:r w:rsidR="00EA4728">
        <w:rPr>
          <w:sz w:val="24"/>
          <w:szCs w:val="24"/>
        </w:rPr>
        <w:t xml:space="preserve"> and laid out in a table format by specific objectives and achievement.  </w:t>
      </w:r>
      <w:r>
        <w:rPr>
          <w:sz w:val="24"/>
          <w:szCs w:val="24"/>
        </w:rPr>
        <w:t xml:space="preserve">Using </w:t>
      </w:r>
      <w:proofErr w:type="spellStart"/>
      <w:r>
        <w:rPr>
          <w:sz w:val="24"/>
          <w:szCs w:val="24"/>
        </w:rPr>
        <w:t>Nvivo</w:t>
      </w:r>
      <w:proofErr w:type="spellEnd"/>
      <w:r>
        <w:rPr>
          <w:sz w:val="24"/>
          <w:szCs w:val="24"/>
        </w:rPr>
        <w:t>, emergent themes were ident</w:t>
      </w:r>
      <w:r w:rsidR="00EA4728">
        <w:rPr>
          <w:sz w:val="24"/>
          <w:szCs w:val="24"/>
        </w:rPr>
        <w:t>ified within each SIR question and then compared across range of questions</w:t>
      </w:r>
      <w:r w:rsidR="00631850">
        <w:rPr>
          <w:sz w:val="24"/>
          <w:szCs w:val="24"/>
        </w:rPr>
        <w:t xml:space="preserve"> (</w:t>
      </w:r>
      <w:proofErr w:type="spellStart"/>
      <w:r w:rsidR="00631850">
        <w:rPr>
          <w:sz w:val="24"/>
          <w:szCs w:val="24"/>
        </w:rPr>
        <w:t>ie</w:t>
      </w:r>
      <w:proofErr w:type="spellEnd"/>
      <w:r w:rsidR="00631850">
        <w:rPr>
          <w:sz w:val="24"/>
          <w:szCs w:val="24"/>
        </w:rPr>
        <w:t xml:space="preserve"> Questions 1, 3a and 4.)</w:t>
      </w:r>
      <w:r w:rsidR="00EA4728">
        <w:rPr>
          <w:sz w:val="24"/>
          <w:szCs w:val="24"/>
        </w:rPr>
        <w:t xml:space="preserve"> </w:t>
      </w:r>
      <w:r>
        <w:rPr>
          <w:sz w:val="24"/>
          <w:szCs w:val="24"/>
        </w:rPr>
        <w:t xml:space="preserve">Aims were predominantly concerned with service provision, families and values or ‘ends’ (Question 1.) While service provision remains the top concern within hospice strategies (Question 3a), this is followed by finance </w:t>
      </w:r>
      <w:proofErr w:type="gramStart"/>
      <w:r>
        <w:rPr>
          <w:sz w:val="24"/>
          <w:szCs w:val="24"/>
        </w:rPr>
        <w:t xml:space="preserve">and </w:t>
      </w:r>
      <w:r w:rsidRPr="00863340">
        <w:rPr>
          <w:sz w:val="24"/>
          <w:szCs w:val="24"/>
        </w:rPr>
        <w:t xml:space="preserve"> </w:t>
      </w:r>
      <w:r>
        <w:rPr>
          <w:sz w:val="24"/>
          <w:szCs w:val="24"/>
        </w:rPr>
        <w:t>partnerships</w:t>
      </w:r>
      <w:proofErr w:type="gramEnd"/>
      <w:r>
        <w:rPr>
          <w:sz w:val="24"/>
          <w:szCs w:val="24"/>
        </w:rPr>
        <w:t xml:space="preserve">, particularly with the public sector or ‘means’.   At an overall level, there seems to be a high degree of coherence between strategies, objectives and achievements, with the same themes being dominant </w:t>
      </w:r>
      <w:r w:rsidR="00631850">
        <w:rPr>
          <w:sz w:val="24"/>
          <w:szCs w:val="24"/>
        </w:rPr>
        <w:t>across all the questions.</w:t>
      </w:r>
      <w:r>
        <w:rPr>
          <w:sz w:val="24"/>
          <w:szCs w:val="24"/>
        </w:rPr>
        <w:t xml:space="preserve">  There is also remarkable consistency between the less frequent themes of staff, volunteers and education (see table </w:t>
      </w:r>
      <w:r w:rsidR="00314EE9">
        <w:rPr>
          <w:sz w:val="24"/>
          <w:szCs w:val="24"/>
        </w:rPr>
        <w:t>3</w:t>
      </w:r>
      <w:r>
        <w:rPr>
          <w:sz w:val="24"/>
          <w:szCs w:val="24"/>
        </w:rPr>
        <w:t xml:space="preserve"> below). </w:t>
      </w:r>
    </w:p>
    <w:p w:rsidR="006D7085" w:rsidRDefault="006D7085" w:rsidP="00C2075D">
      <w:pPr>
        <w:ind w:firstLine="720"/>
        <w:rPr>
          <w:sz w:val="24"/>
          <w:szCs w:val="24"/>
        </w:rPr>
      </w:pPr>
      <w:r w:rsidRPr="006D7085">
        <w:rPr>
          <w:noProof/>
          <w:sz w:val="24"/>
          <w:szCs w:val="24"/>
          <w:lang w:eastAsia="en-GB"/>
        </w:rPr>
        <w:drawing>
          <wp:inline distT="0" distB="0" distL="0" distR="0" wp14:anchorId="5EC0241F" wp14:editId="0C369E58">
            <wp:extent cx="5707380" cy="2202180"/>
            <wp:effectExtent l="0" t="0" r="26670"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7085" w:rsidRPr="006D7085" w:rsidRDefault="006D7085" w:rsidP="006D7085">
      <w:pPr>
        <w:ind w:left="720"/>
        <w:rPr>
          <w:b/>
          <w:sz w:val="24"/>
          <w:szCs w:val="24"/>
        </w:rPr>
      </w:pPr>
      <w:r w:rsidRPr="006D7085">
        <w:rPr>
          <w:b/>
          <w:sz w:val="24"/>
          <w:szCs w:val="24"/>
        </w:rPr>
        <w:t xml:space="preserve">Table </w:t>
      </w:r>
      <w:proofErr w:type="gramStart"/>
      <w:r w:rsidR="00314EE9">
        <w:rPr>
          <w:b/>
          <w:sz w:val="24"/>
          <w:szCs w:val="24"/>
        </w:rPr>
        <w:t>3 :</w:t>
      </w:r>
      <w:proofErr w:type="gramEnd"/>
      <w:r w:rsidR="00314EE9">
        <w:rPr>
          <w:b/>
          <w:sz w:val="24"/>
          <w:szCs w:val="24"/>
        </w:rPr>
        <w:t xml:space="preserve"> A</w:t>
      </w:r>
      <w:r w:rsidRPr="006D7085">
        <w:rPr>
          <w:b/>
          <w:sz w:val="24"/>
          <w:szCs w:val="24"/>
        </w:rPr>
        <w:t>lignment of Q1 (Aims), Q3a</w:t>
      </w:r>
      <w:r>
        <w:rPr>
          <w:b/>
          <w:sz w:val="24"/>
          <w:szCs w:val="24"/>
        </w:rPr>
        <w:t xml:space="preserve"> </w:t>
      </w:r>
      <w:r w:rsidRPr="006D7085">
        <w:rPr>
          <w:b/>
          <w:sz w:val="24"/>
          <w:szCs w:val="24"/>
        </w:rPr>
        <w:t>(Strategy) and Q4 (objectives and achievements)</w:t>
      </w:r>
    </w:p>
    <w:p w:rsidR="00C2075D" w:rsidRDefault="00C2075D" w:rsidP="00C2075D">
      <w:pPr>
        <w:ind w:firstLine="720"/>
        <w:rPr>
          <w:sz w:val="24"/>
          <w:szCs w:val="24"/>
        </w:rPr>
      </w:pPr>
      <w:r>
        <w:rPr>
          <w:sz w:val="24"/>
          <w:szCs w:val="24"/>
        </w:rPr>
        <w:t>However a mixed picture is revealed when themes are traced through at an individual hospice level.</w:t>
      </w:r>
      <w:r w:rsidR="00631850">
        <w:rPr>
          <w:sz w:val="24"/>
          <w:szCs w:val="24"/>
        </w:rPr>
        <w:t xml:space="preserve"> T</w:t>
      </w:r>
      <w:r>
        <w:rPr>
          <w:sz w:val="24"/>
          <w:szCs w:val="24"/>
        </w:rPr>
        <w:t xml:space="preserve">he vast majority of hospices expressed some kind of service delivery in their aims, strategies, objectives and achievements. However, there were very limited matches across all other themes. </w:t>
      </w:r>
      <w:proofErr w:type="gramStart"/>
      <w:r w:rsidR="00631850">
        <w:rPr>
          <w:sz w:val="24"/>
          <w:szCs w:val="24"/>
        </w:rPr>
        <w:t xml:space="preserve">( </w:t>
      </w:r>
      <w:proofErr w:type="spellStart"/>
      <w:r w:rsidR="00631850">
        <w:rPr>
          <w:sz w:val="24"/>
          <w:szCs w:val="24"/>
        </w:rPr>
        <w:t>eg</w:t>
      </w:r>
      <w:proofErr w:type="spellEnd"/>
      <w:proofErr w:type="gramEnd"/>
      <w:r w:rsidR="00631850">
        <w:rPr>
          <w:sz w:val="24"/>
          <w:szCs w:val="24"/>
        </w:rPr>
        <w:t xml:space="preserve"> Question1 to Question 3a : Aims </w:t>
      </w:r>
      <w:r w:rsidR="00BE0697">
        <w:rPr>
          <w:sz w:val="24"/>
          <w:szCs w:val="24"/>
        </w:rPr>
        <w:t xml:space="preserve">to </w:t>
      </w:r>
      <w:r w:rsidR="00631850">
        <w:rPr>
          <w:sz w:val="24"/>
          <w:szCs w:val="24"/>
        </w:rPr>
        <w:t xml:space="preserve">Strategy; Question 3a to Question 4: Strategy to Objectives and </w:t>
      </w:r>
      <w:r w:rsidR="00683ADF">
        <w:rPr>
          <w:sz w:val="24"/>
          <w:szCs w:val="24"/>
        </w:rPr>
        <w:t>A</w:t>
      </w:r>
      <w:r w:rsidR="00631850">
        <w:rPr>
          <w:sz w:val="24"/>
          <w:szCs w:val="24"/>
        </w:rPr>
        <w:t xml:space="preserve">chievements.) </w:t>
      </w:r>
      <w:r>
        <w:rPr>
          <w:sz w:val="24"/>
          <w:szCs w:val="24"/>
        </w:rPr>
        <w:t xml:space="preserve">When occurrences of finance, partnerships, staff, volunteers and education are matched across aims (Question 1), strategy (Question 3a) and Objectives/Achievements </w:t>
      </w:r>
      <w:proofErr w:type="gramStart"/>
      <w:r>
        <w:rPr>
          <w:sz w:val="24"/>
          <w:szCs w:val="24"/>
        </w:rPr>
        <w:t>( Question</w:t>
      </w:r>
      <w:proofErr w:type="gramEnd"/>
      <w:r>
        <w:rPr>
          <w:sz w:val="24"/>
          <w:szCs w:val="24"/>
        </w:rPr>
        <w:t xml:space="preserve"> 4), there is little consistency (see table </w:t>
      </w:r>
      <w:r w:rsidR="00314EE9">
        <w:rPr>
          <w:sz w:val="24"/>
          <w:szCs w:val="24"/>
        </w:rPr>
        <w:t>4</w:t>
      </w:r>
      <w:r>
        <w:rPr>
          <w:sz w:val="24"/>
          <w:szCs w:val="24"/>
        </w:rPr>
        <w:t xml:space="preserve">.) More pertinent is the number of the non-matches, where hospices cite a theme in their strategy but do not follow it through to specific objectives and achievements or viva versa. These non-matches are higher than matches in all but one case </w:t>
      </w:r>
      <w:proofErr w:type="gramStart"/>
      <w:r>
        <w:rPr>
          <w:sz w:val="24"/>
          <w:szCs w:val="24"/>
        </w:rPr>
        <w:t>( financial</w:t>
      </w:r>
      <w:proofErr w:type="gramEnd"/>
      <w:r>
        <w:rPr>
          <w:sz w:val="24"/>
          <w:szCs w:val="24"/>
        </w:rPr>
        <w:t xml:space="preserve">  strategy (Q3a) to objectives/achievements (Q4.) </w:t>
      </w:r>
    </w:p>
    <w:p w:rsidR="006D7085" w:rsidRDefault="006D7085" w:rsidP="00C2075D">
      <w:pPr>
        <w:ind w:firstLine="720"/>
        <w:rPr>
          <w:b/>
          <w:sz w:val="24"/>
          <w:szCs w:val="24"/>
        </w:rPr>
      </w:pPr>
      <w:r w:rsidRPr="006D7085">
        <w:rPr>
          <w:b/>
          <w:noProof/>
          <w:sz w:val="24"/>
          <w:szCs w:val="24"/>
          <w:lang w:eastAsia="en-GB"/>
        </w:rPr>
        <w:lastRenderedPageBreak/>
        <w:drawing>
          <wp:inline distT="0" distB="0" distL="0" distR="0" wp14:anchorId="4915702B" wp14:editId="567CF83D">
            <wp:extent cx="5676900" cy="2598420"/>
            <wp:effectExtent l="0" t="0" r="1905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54C2" w:rsidRDefault="006D7085" w:rsidP="00C2075D">
      <w:pPr>
        <w:ind w:firstLine="720"/>
        <w:rPr>
          <w:b/>
          <w:sz w:val="24"/>
          <w:szCs w:val="24"/>
        </w:rPr>
      </w:pPr>
      <w:r w:rsidRPr="00D5105E">
        <w:rPr>
          <w:b/>
          <w:sz w:val="24"/>
          <w:szCs w:val="24"/>
        </w:rPr>
        <w:t xml:space="preserve">Table </w:t>
      </w:r>
      <w:proofErr w:type="gramStart"/>
      <w:r w:rsidR="00314EE9">
        <w:rPr>
          <w:b/>
          <w:sz w:val="24"/>
          <w:szCs w:val="24"/>
        </w:rPr>
        <w:t>4</w:t>
      </w:r>
      <w:r w:rsidRPr="00D5105E">
        <w:rPr>
          <w:b/>
          <w:sz w:val="24"/>
          <w:szCs w:val="24"/>
        </w:rPr>
        <w:t xml:space="preserve"> :</w:t>
      </w:r>
      <w:proofErr w:type="gramEnd"/>
      <w:r w:rsidRPr="00D5105E">
        <w:rPr>
          <w:b/>
          <w:sz w:val="24"/>
          <w:szCs w:val="24"/>
        </w:rPr>
        <w:t xml:space="preserve"> Number of thematic matches at individual hospice level</w:t>
      </w:r>
    </w:p>
    <w:p w:rsidR="00314EE9" w:rsidRDefault="00C2075D" w:rsidP="00C2075D">
      <w:pPr>
        <w:ind w:firstLine="720"/>
        <w:rPr>
          <w:sz w:val="24"/>
          <w:szCs w:val="24"/>
        </w:rPr>
      </w:pPr>
      <w:r w:rsidRPr="00A653AE">
        <w:rPr>
          <w:sz w:val="24"/>
          <w:szCs w:val="24"/>
        </w:rPr>
        <w:t xml:space="preserve">Some hospices do achieve a coherent pattern of alignment across </w:t>
      </w:r>
      <w:r>
        <w:rPr>
          <w:sz w:val="24"/>
          <w:szCs w:val="24"/>
        </w:rPr>
        <w:t>all three questions</w:t>
      </w:r>
      <w:r w:rsidRPr="00A653AE">
        <w:rPr>
          <w:sz w:val="24"/>
          <w:szCs w:val="24"/>
        </w:rPr>
        <w:t xml:space="preserve"> but these represent only 22% of possible alignment opportunities. The majority of hospices express their aims in terms of service provision and then elaborate on this in their strateg</w:t>
      </w:r>
      <w:r w:rsidR="00242508">
        <w:rPr>
          <w:sz w:val="24"/>
          <w:szCs w:val="24"/>
        </w:rPr>
        <w:t>i</w:t>
      </w:r>
      <w:r w:rsidRPr="00A653AE">
        <w:rPr>
          <w:sz w:val="24"/>
          <w:szCs w:val="24"/>
        </w:rPr>
        <w:t xml:space="preserve">es, objectives and achievements.  Most aims are expressed in very general terms but a review of service provision strategies against their stated objectives and achievements suggests that around a third of hospices have aligned these in a </w:t>
      </w:r>
      <w:r>
        <w:rPr>
          <w:sz w:val="24"/>
          <w:szCs w:val="24"/>
        </w:rPr>
        <w:t>c</w:t>
      </w:r>
      <w:r w:rsidRPr="00A653AE">
        <w:rPr>
          <w:sz w:val="24"/>
          <w:szCs w:val="24"/>
        </w:rPr>
        <w:t xml:space="preserve">onsistent manner. Where objectives are specific, these are typically described in terms of activities such </w:t>
      </w:r>
      <w:r>
        <w:rPr>
          <w:sz w:val="24"/>
          <w:szCs w:val="24"/>
        </w:rPr>
        <w:t xml:space="preserve">as </w:t>
      </w:r>
      <w:r w:rsidRPr="00A653AE">
        <w:rPr>
          <w:sz w:val="24"/>
          <w:szCs w:val="24"/>
        </w:rPr>
        <w:t>establishing new services, building new facilities or extending capacity. Some are more aspirational such as dying in place of choice, widening access or promoting peace of mind. Where a tangible outcome is given, it is usually expressed as a milestone</w:t>
      </w:r>
      <w:r>
        <w:rPr>
          <w:sz w:val="24"/>
          <w:szCs w:val="24"/>
        </w:rPr>
        <w:t>. Only</w:t>
      </w:r>
      <w:r w:rsidRPr="00A653AE">
        <w:rPr>
          <w:sz w:val="24"/>
          <w:szCs w:val="24"/>
        </w:rPr>
        <w:t xml:space="preserve"> the minority giv</w:t>
      </w:r>
      <w:r>
        <w:rPr>
          <w:sz w:val="24"/>
          <w:szCs w:val="24"/>
        </w:rPr>
        <w:t>e</w:t>
      </w:r>
      <w:r w:rsidRPr="00A653AE">
        <w:rPr>
          <w:sz w:val="24"/>
          <w:szCs w:val="24"/>
        </w:rPr>
        <w:t xml:space="preserve"> specific measures. Below </w:t>
      </w:r>
      <w:r w:rsidR="00314EE9">
        <w:rPr>
          <w:sz w:val="24"/>
          <w:szCs w:val="24"/>
        </w:rPr>
        <w:t xml:space="preserve">in table 5 </w:t>
      </w:r>
      <w:r w:rsidRPr="00A653AE">
        <w:rPr>
          <w:sz w:val="24"/>
          <w:szCs w:val="24"/>
        </w:rPr>
        <w:t>are some of the best examples of specific, aligned and measurable service provision aims, strategies, objectives and achievements:</w:t>
      </w:r>
    </w:p>
    <w:p w:rsidR="00274592" w:rsidRDefault="00274592" w:rsidP="00C2075D">
      <w:pPr>
        <w:ind w:firstLine="720"/>
        <w:rPr>
          <w:sz w:val="24"/>
          <w:szCs w:val="24"/>
        </w:rPr>
      </w:pPr>
    </w:p>
    <w:p w:rsidR="00274592" w:rsidRDefault="00274592" w:rsidP="00C2075D">
      <w:pPr>
        <w:ind w:firstLine="720"/>
        <w:rPr>
          <w:sz w:val="24"/>
          <w:szCs w:val="24"/>
        </w:rPr>
      </w:pPr>
    </w:p>
    <w:p w:rsidR="00274592" w:rsidRDefault="00274592" w:rsidP="00C2075D">
      <w:pPr>
        <w:ind w:firstLine="720"/>
        <w:rPr>
          <w:sz w:val="24"/>
          <w:szCs w:val="24"/>
        </w:rPr>
      </w:pPr>
    </w:p>
    <w:p w:rsidR="00274592" w:rsidRDefault="00274592" w:rsidP="00C2075D">
      <w:pPr>
        <w:ind w:firstLine="720"/>
        <w:rPr>
          <w:sz w:val="24"/>
          <w:szCs w:val="24"/>
        </w:rPr>
      </w:pPr>
    </w:p>
    <w:p w:rsidR="00274592" w:rsidRDefault="00274592" w:rsidP="00C2075D">
      <w:pPr>
        <w:ind w:firstLine="720"/>
        <w:rPr>
          <w:sz w:val="24"/>
          <w:szCs w:val="24"/>
        </w:rPr>
      </w:pPr>
    </w:p>
    <w:p w:rsidR="00274592" w:rsidRDefault="00274592" w:rsidP="00C2075D">
      <w:pPr>
        <w:ind w:firstLine="720"/>
        <w:rPr>
          <w:sz w:val="24"/>
          <w:szCs w:val="24"/>
        </w:rPr>
      </w:pPr>
    </w:p>
    <w:p w:rsidR="00274592" w:rsidRDefault="00274592" w:rsidP="00C2075D">
      <w:pPr>
        <w:ind w:firstLine="720"/>
        <w:rPr>
          <w:sz w:val="24"/>
          <w:szCs w:val="24"/>
        </w:rPr>
      </w:pPr>
    </w:p>
    <w:p w:rsidR="00274592" w:rsidRDefault="00274592" w:rsidP="00C2075D">
      <w:pPr>
        <w:ind w:firstLine="720"/>
        <w:rPr>
          <w:sz w:val="24"/>
          <w:szCs w:val="24"/>
        </w:rPr>
      </w:pPr>
    </w:p>
    <w:p w:rsidR="00274592" w:rsidRDefault="00274592" w:rsidP="00C2075D">
      <w:pPr>
        <w:ind w:firstLine="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845"/>
        <w:gridCol w:w="1950"/>
        <w:gridCol w:w="1753"/>
        <w:gridCol w:w="1753"/>
      </w:tblGrid>
      <w:tr w:rsidR="00C2075D" w:rsidRPr="0049529E" w:rsidTr="00D810AF">
        <w:tc>
          <w:tcPr>
            <w:tcW w:w="1941" w:type="dxa"/>
          </w:tcPr>
          <w:p w:rsidR="00C2075D" w:rsidRPr="0049529E" w:rsidRDefault="00C2075D" w:rsidP="00D810AF">
            <w:pPr>
              <w:spacing w:after="0" w:line="240" w:lineRule="auto"/>
              <w:rPr>
                <w:b/>
              </w:rPr>
            </w:pPr>
            <w:r w:rsidRPr="0049529E">
              <w:rPr>
                <w:b/>
              </w:rPr>
              <w:lastRenderedPageBreak/>
              <w:t>Hospice</w:t>
            </w:r>
          </w:p>
        </w:tc>
        <w:tc>
          <w:tcPr>
            <w:tcW w:w="1845" w:type="dxa"/>
          </w:tcPr>
          <w:p w:rsidR="00C2075D" w:rsidRPr="0049529E" w:rsidRDefault="00C2075D" w:rsidP="00D810AF">
            <w:pPr>
              <w:spacing w:after="0" w:line="240" w:lineRule="auto"/>
              <w:rPr>
                <w:b/>
              </w:rPr>
            </w:pPr>
            <w:r w:rsidRPr="0049529E">
              <w:rPr>
                <w:b/>
              </w:rPr>
              <w:t>Aim</w:t>
            </w:r>
          </w:p>
        </w:tc>
        <w:tc>
          <w:tcPr>
            <w:tcW w:w="1950" w:type="dxa"/>
          </w:tcPr>
          <w:p w:rsidR="00C2075D" w:rsidRPr="0049529E" w:rsidRDefault="00C2075D" w:rsidP="00D810AF">
            <w:pPr>
              <w:spacing w:after="0" w:line="240" w:lineRule="auto"/>
              <w:rPr>
                <w:b/>
              </w:rPr>
            </w:pPr>
            <w:r w:rsidRPr="0049529E">
              <w:rPr>
                <w:b/>
              </w:rPr>
              <w:t>Strategy</w:t>
            </w:r>
          </w:p>
        </w:tc>
        <w:tc>
          <w:tcPr>
            <w:tcW w:w="1753" w:type="dxa"/>
          </w:tcPr>
          <w:p w:rsidR="00C2075D" w:rsidRPr="0049529E" w:rsidRDefault="00C2075D" w:rsidP="00D810AF">
            <w:pPr>
              <w:spacing w:after="0" w:line="240" w:lineRule="auto"/>
              <w:rPr>
                <w:b/>
              </w:rPr>
            </w:pPr>
            <w:r w:rsidRPr="0049529E">
              <w:rPr>
                <w:b/>
              </w:rPr>
              <w:t>Objective</w:t>
            </w:r>
          </w:p>
        </w:tc>
        <w:tc>
          <w:tcPr>
            <w:tcW w:w="1753" w:type="dxa"/>
          </w:tcPr>
          <w:p w:rsidR="00C2075D" w:rsidRPr="0049529E" w:rsidRDefault="00C2075D" w:rsidP="00D810AF">
            <w:pPr>
              <w:spacing w:after="0" w:line="240" w:lineRule="auto"/>
              <w:rPr>
                <w:b/>
              </w:rPr>
            </w:pPr>
            <w:r w:rsidRPr="0049529E">
              <w:rPr>
                <w:b/>
              </w:rPr>
              <w:t>Achievement</w:t>
            </w:r>
          </w:p>
        </w:tc>
      </w:tr>
      <w:tr w:rsidR="00C2075D" w:rsidRPr="0049529E" w:rsidTr="00D810AF">
        <w:tc>
          <w:tcPr>
            <w:tcW w:w="1941" w:type="dxa"/>
          </w:tcPr>
          <w:p w:rsidR="00C2075D" w:rsidRPr="0049529E" w:rsidRDefault="00C2075D" w:rsidP="00D810AF">
            <w:pPr>
              <w:spacing w:after="0" w:line="240" w:lineRule="auto"/>
              <w:rPr>
                <w:sz w:val="18"/>
                <w:szCs w:val="18"/>
              </w:rPr>
            </w:pPr>
            <w:r w:rsidRPr="0049529E">
              <w:rPr>
                <w:sz w:val="18"/>
                <w:szCs w:val="18"/>
              </w:rPr>
              <w:t>St Barnabas</w:t>
            </w:r>
          </w:p>
          <w:p w:rsidR="00C2075D" w:rsidRPr="0049529E" w:rsidRDefault="00C2075D" w:rsidP="00D810AF">
            <w:pPr>
              <w:spacing w:after="0" w:line="240" w:lineRule="auto"/>
              <w:rPr>
                <w:sz w:val="18"/>
                <w:szCs w:val="18"/>
              </w:rPr>
            </w:pPr>
          </w:p>
          <w:p w:rsidR="00C2075D" w:rsidRPr="0049529E" w:rsidRDefault="00C2075D" w:rsidP="00D810AF">
            <w:pPr>
              <w:spacing w:after="0" w:line="240" w:lineRule="auto"/>
              <w:rPr>
                <w:sz w:val="18"/>
                <w:szCs w:val="18"/>
              </w:rPr>
            </w:pPr>
            <w:r w:rsidRPr="0049529E">
              <w:rPr>
                <w:sz w:val="18"/>
                <w:szCs w:val="18"/>
              </w:rPr>
              <w:t>( example of service levels)</w:t>
            </w:r>
          </w:p>
        </w:tc>
        <w:tc>
          <w:tcPr>
            <w:tcW w:w="1845" w:type="dxa"/>
          </w:tcPr>
          <w:p w:rsidR="00C2075D" w:rsidRPr="0049529E" w:rsidRDefault="00C2075D" w:rsidP="00D810AF">
            <w:pPr>
              <w:spacing w:after="0" w:line="240" w:lineRule="auto"/>
              <w:rPr>
                <w:sz w:val="18"/>
                <w:szCs w:val="18"/>
              </w:rPr>
            </w:pPr>
            <w:r w:rsidRPr="0049529E">
              <w:rPr>
                <w:sz w:val="18"/>
                <w:szCs w:val="18"/>
              </w:rPr>
              <w:t>To maximise the quality of life outcomes for their patients who are impacts by advanced progressive life limiting illnesses</w:t>
            </w:r>
          </w:p>
        </w:tc>
        <w:tc>
          <w:tcPr>
            <w:tcW w:w="1950" w:type="dxa"/>
          </w:tcPr>
          <w:p w:rsidR="00C2075D" w:rsidRPr="0049529E" w:rsidRDefault="00C2075D" w:rsidP="00D810AF">
            <w:pPr>
              <w:spacing w:after="0" w:line="240" w:lineRule="auto"/>
              <w:rPr>
                <w:sz w:val="18"/>
                <w:szCs w:val="18"/>
              </w:rPr>
            </w:pPr>
            <w:r w:rsidRPr="0049529E">
              <w:rPr>
                <w:sz w:val="18"/>
                <w:szCs w:val="18"/>
              </w:rPr>
              <w:t>Expand the care services offered through the day care centres and out patients services to increase access to these services</w:t>
            </w:r>
          </w:p>
        </w:tc>
        <w:tc>
          <w:tcPr>
            <w:tcW w:w="1753" w:type="dxa"/>
          </w:tcPr>
          <w:p w:rsidR="00C2075D" w:rsidRPr="0049529E" w:rsidRDefault="00C2075D" w:rsidP="00D810AF">
            <w:pPr>
              <w:spacing w:after="0" w:line="240" w:lineRule="auto"/>
              <w:rPr>
                <w:sz w:val="18"/>
                <w:szCs w:val="18"/>
              </w:rPr>
            </w:pPr>
            <w:r w:rsidRPr="0049529E">
              <w:rPr>
                <w:sz w:val="18"/>
                <w:szCs w:val="18"/>
              </w:rPr>
              <w:t>Increase access to community services offered by the adult hospice</w:t>
            </w:r>
          </w:p>
        </w:tc>
        <w:tc>
          <w:tcPr>
            <w:tcW w:w="1753" w:type="dxa"/>
          </w:tcPr>
          <w:p w:rsidR="00C2075D" w:rsidRPr="0049529E" w:rsidRDefault="00C2075D" w:rsidP="00D810AF">
            <w:pPr>
              <w:spacing w:after="0" w:line="240" w:lineRule="auto"/>
              <w:rPr>
                <w:sz w:val="18"/>
                <w:szCs w:val="18"/>
              </w:rPr>
            </w:pPr>
            <w:r w:rsidRPr="0049529E">
              <w:rPr>
                <w:sz w:val="18"/>
                <w:szCs w:val="18"/>
              </w:rPr>
              <w:t>Increase the number of patients attending day care by over 40% and supported an additional 25% of patients across the services.</w:t>
            </w:r>
          </w:p>
        </w:tc>
      </w:tr>
      <w:tr w:rsidR="00C2075D" w:rsidRPr="0049529E" w:rsidTr="00D810AF">
        <w:tc>
          <w:tcPr>
            <w:tcW w:w="1941" w:type="dxa"/>
          </w:tcPr>
          <w:p w:rsidR="00C2075D" w:rsidRPr="0049529E" w:rsidRDefault="00C2075D" w:rsidP="00D810AF">
            <w:pPr>
              <w:spacing w:after="0" w:line="240" w:lineRule="auto"/>
              <w:rPr>
                <w:sz w:val="18"/>
                <w:szCs w:val="18"/>
              </w:rPr>
            </w:pPr>
            <w:r w:rsidRPr="0049529E">
              <w:rPr>
                <w:sz w:val="18"/>
                <w:szCs w:val="18"/>
              </w:rPr>
              <w:t>Acorns</w:t>
            </w:r>
          </w:p>
          <w:p w:rsidR="00C2075D" w:rsidRPr="0049529E" w:rsidRDefault="00C2075D" w:rsidP="00D810AF">
            <w:pPr>
              <w:spacing w:after="0" w:line="240" w:lineRule="auto"/>
              <w:rPr>
                <w:sz w:val="18"/>
                <w:szCs w:val="18"/>
              </w:rPr>
            </w:pPr>
          </w:p>
          <w:p w:rsidR="00C2075D" w:rsidRPr="0049529E" w:rsidRDefault="00C2075D" w:rsidP="00D810AF">
            <w:pPr>
              <w:spacing w:after="0" w:line="240" w:lineRule="auto"/>
              <w:rPr>
                <w:sz w:val="18"/>
                <w:szCs w:val="18"/>
              </w:rPr>
            </w:pPr>
            <w:r w:rsidRPr="0049529E">
              <w:rPr>
                <w:sz w:val="18"/>
                <w:szCs w:val="18"/>
              </w:rPr>
              <w:t>( example of service provision)</w:t>
            </w:r>
          </w:p>
        </w:tc>
        <w:tc>
          <w:tcPr>
            <w:tcW w:w="1845" w:type="dxa"/>
          </w:tcPr>
          <w:p w:rsidR="00C2075D" w:rsidRPr="0049529E" w:rsidRDefault="00C2075D" w:rsidP="00D810AF">
            <w:pPr>
              <w:spacing w:after="0" w:line="240" w:lineRule="auto"/>
              <w:rPr>
                <w:sz w:val="18"/>
                <w:szCs w:val="18"/>
              </w:rPr>
            </w:pPr>
            <w:r w:rsidRPr="0049529E">
              <w:rPr>
                <w:sz w:val="18"/>
                <w:szCs w:val="18"/>
              </w:rPr>
              <w:t xml:space="preserve">To provide holistic, specialist palliative care services to children young people and their families in the region. </w:t>
            </w:r>
          </w:p>
        </w:tc>
        <w:tc>
          <w:tcPr>
            <w:tcW w:w="1950" w:type="dxa"/>
          </w:tcPr>
          <w:p w:rsidR="00C2075D" w:rsidRPr="0049529E" w:rsidRDefault="00C2075D" w:rsidP="00D810AF">
            <w:pPr>
              <w:spacing w:after="0" w:line="240" w:lineRule="auto"/>
              <w:rPr>
                <w:sz w:val="18"/>
                <w:szCs w:val="18"/>
              </w:rPr>
            </w:pPr>
            <w:r w:rsidRPr="0049529E">
              <w:rPr>
                <w:sz w:val="18"/>
                <w:szCs w:val="18"/>
              </w:rPr>
              <w:t>Facilitate the transfer of existing clients from Acorns services to appropriate adult providers in a compassionate way, on a phased basis, subject to the outcome of transitional pathways.</w:t>
            </w:r>
          </w:p>
        </w:tc>
        <w:tc>
          <w:tcPr>
            <w:tcW w:w="1753" w:type="dxa"/>
          </w:tcPr>
          <w:p w:rsidR="00C2075D" w:rsidRPr="0049529E" w:rsidRDefault="00C2075D" w:rsidP="00D810AF">
            <w:pPr>
              <w:spacing w:after="0" w:line="240" w:lineRule="auto"/>
              <w:rPr>
                <w:sz w:val="18"/>
                <w:szCs w:val="18"/>
              </w:rPr>
            </w:pPr>
            <w:r w:rsidRPr="0049529E">
              <w:rPr>
                <w:sz w:val="18"/>
                <w:szCs w:val="18"/>
              </w:rPr>
              <w:t>Supporting our young people preparing for adulthood, to transition to adult services</w:t>
            </w:r>
          </w:p>
        </w:tc>
        <w:tc>
          <w:tcPr>
            <w:tcW w:w="1753" w:type="dxa"/>
          </w:tcPr>
          <w:p w:rsidR="00C2075D" w:rsidRPr="0049529E" w:rsidRDefault="00C2075D" w:rsidP="00D810AF">
            <w:pPr>
              <w:spacing w:after="0" w:line="240" w:lineRule="auto"/>
              <w:rPr>
                <w:sz w:val="18"/>
                <w:szCs w:val="18"/>
              </w:rPr>
            </w:pPr>
            <w:r w:rsidRPr="0049529E">
              <w:rPr>
                <w:sz w:val="18"/>
                <w:szCs w:val="18"/>
              </w:rPr>
              <w:t xml:space="preserve"> We have developed clear criteria to facilitate the transfer of exiting young adults from Acorns services to appropriate adult providers</w:t>
            </w:r>
          </w:p>
        </w:tc>
      </w:tr>
      <w:tr w:rsidR="00C2075D" w:rsidRPr="0049529E" w:rsidTr="00D810AF">
        <w:tc>
          <w:tcPr>
            <w:tcW w:w="1941" w:type="dxa"/>
          </w:tcPr>
          <w:p w:rsidR="00C2075D" w:rsidRPr="0049529E" w:rsidRDefault="00C2075D" w:rsidP="00D810AF">
            <w:pPr>
              <w:spacing w:after="0" w:line="240" w:lineRule="auto"/>
              <w:rPr>
                <w:sz w:val="18"/>
                <w:szCs w:val="18"/>
              </w:rPr>
            </w:pPr>
            <w:r w:rsidRPr="0049529E">
              <w:rPr>
                <w:sz w:val="18"/>
                <w:szCs w:val="18"/>
              </w:rPr>
              <w:t>St David’s Foundation</w:t>
            </w:r>
          </w:p>
          <w:p w:rsidR="00C2075D" w:rsidRPr="0049529E" w:rsidRDefault="00C2075D" w:rsidP="00D810AF">
            <w:pPr>
              <w:spacing w:after="0" w:line="240" w:lineRule="auto"/>
              <w:rPr>
                <w:sz w:val="18"/>
                <w:szCs w:val="18"/>
              </w:rPr>
            </w:pPr>
            <w:r w:rsidRPr="0049529E">
              <w:rPr>
                <w:sz w:val="18"/>
                <w:szCs w:val="18"/>
              </w:rPr>
              <w:t>(Place of choice)</w:t>
            </w:r>
          </w:p>
        </w:tc>
        <w:tc>
          <w:tcPr>
            <w:tcW w:w="1845" w:type="dxa"/>
          </w:tcPr>
          <w:p w:rsidR="00C2075D" w:rsidRPr="0049529E" w:rsidRDefault="00C2075D" w:rsidP="00D810AF">
            <w:pPr>
              <w:spacing w:after="0" w:line="240" w:lineRule="auto"/>
              <w:rPr>
                <w:sz w:val="18"/>
                <w:szCs w:val="18"/>
              </w:rPr>
            </w:pPr>
            <w:r w:rsidRPr="0049529E">
              <w:rPr>
                <w:sz w:val="18"/>
                <w:szCs w:val="18"/>
              </w:rPr>
              <w:t>To provide a multi-disciplinary hospice at home service to people who are suffering from cancer or other life-threatening illnesses</w:t>
            </w:r>
          </w:p>
        </w:tc>
        <w:tc>
          <w:tcPr>
            <w:tcW w:w="1950" w:type="dxa"/>
          </w:tcPr>
          <w:p w:rsidR="00C2075D" w:rsidRPr="0049529E" w:rsidRDefault="00C2075D" w:rsidP="00D810AF">
            <w:pPr>
              <w:spacing w:after="0" w:line="240" w:lineRule="auto"/>
              <w:rPr>
                <w:sz w:val="18"/>
                <w:szCs w:val="18"/>
              </w:rPr>
            </w:pPr>
            <w:r w:rsidRPr="0049529E">
              <w:rPr>
                <w:sz w:val="18"/>
                <w:szCs w:val="18"/>
              </w:rPr>
              <w:t xml:space="preserve">Enable more patients to die in their usual place of residence, home or care </w:t>
            </w:r>
            <w:proofErr w:type="spellStart"/>
            <w:r w:rsidRPr="0049529E">
              <w:rPr>
                <w:sz w:val="18"/>
                <w:szCs w:val="18"/>
              </w:rPr>
              <w:t>home,if</w:t>
            </w:r>
            <w:proofErr w:type="spellEnd"/>
            <w:r w:rsidRPr="0049529E">
              <w:rPr>
                <w:sz w:val="18"/>
                <w:szCs w:val="18"/>
              </w:rPr>
              <w:t xml:space="preserve"> that is their choice</w:t>
            </w:r>
          </w:p>
        </w:tc>
        <w:tc>
          <w:tcPr>
            <w:tcW w:w="1753" w:type="dxa"/>
          </w:tcPr>
          <w:p w:rsidR="00C2075D" w:rsidRPr="0049529E" w:rsidRDefault="00C2075D" w:rsidP="00D810AF">
            <w:pPr>
              <w:spacing w:after="0" w:line="240" w:lineRule="auto"/>
              <w:rPr>
                <w:sz w:val="18"/>
                <w:szCs w:val="18"/>
              </w:rPr>
            </w:pPr>
            <w:r w:rsidRPr="0049529E">
              <w:rPr>
                <w:sz w:val="18"/>
                <w:szCs w:val="18"/>
              </w:rPr>
              <w:t xml:space="preserve"> To enable more patients to die in their usual place of residence if that is their choice across the whole service</w:t>
            </w:r>
          </w:p>
        </w:tc>
        <w:tc>
          <w:tcPr>
            <w:tcW w:w="1753" w:type="dxa"/>
          </w:tcPr>
          <w:p w:rsidR="00C2075D" w:rsidRPr="0049529E" w:rsidRDefault="00C2075D" w:rsidP="00D810AF">
            <w:pPr>
              <w:spacing w:after="0" w:line="240" w:lineRule="auto"/>
              <w:rPr>
                <w:sz w:val="18"/>
                <w:szCs w:val="18"/>
              </w:rPr>
            </w:pPr>
            <w:r w:rsidRPr="0049529E">
              <w:rPr>
                <w:sz w:val="18"/>
                <w:szCs w:val="18"/>
              </w:rPr>
              <w:t>66.1% of patients across the whole service died in their usual place of residence</w:t>
            </w:r>
          </w:p>
        </w:tc>
      </w:tr>
      <w:tr w:rsidR="00C2075D" w:rsidRPr="0049529E" w:rsidTr="00D810AF">
        <w:tc>
          <w:tcPr>
            <w:tcW w:w="1941" w:type="dxa"/>
          </w:tcPr>
          <w:p w:rsidR="00C2075D" w:rsidRPr="0049529E" w:rsidRDefault="00C2075D" w:rsidP="00D810AF">
            <w:pPr>
              <w:spacing w:after="0" w:line="240" w:lineRule="auto"/>
              <w:rPr>
                <w:sz w:val="18"/>
                <w:szCs w:val="18"/>
              </w:rPr>
            </w:pPr>
            <w:r w:rsidRPr="0049529E">
              <w:rPr>
                <w:sz w:val="18"/>
                <w:szCs w:val="18"/>
              </w:rPr>
              <w:t>Willow Burn</w:t>
            </w:r>
          </w:p>
          <w:p w:rsidR="00C2075D" w:rsidRPr="0049529E" w:rsidRDefault="00C2075D" w:rsidP="00D810AF">
            <w:pPr>
              <w:spacing w:after="0" w:line="240" w:lineRule="auto"/>
              <w:rPr>
                <w:sz w:val="18"/>
                <w:szCs w:val="18"/>
              </w:rPr>
            </w:pPr>
          </w:p>
          <w:p w:rsidR="00C2075D" w:rsidRPr="0049529E" w:rsidRDefault="00C2075D" w:rsidP="00D810AF">
            <w:pPr>
              <w:spacing w:after="0" w:line="240" w:lineRule="auto"/>
              <w:rPr>
                <w:sz w:val="18"/>
                <w:szCs w:val="18"/>
              </w:rPr>
            </w:pPr>
            <w:r w:rsidRPr="0049529E">
              <w:rPr>
                <w:sz w:val="18"/>
                <w:szCs w:val="18"/>
              </w:rPr>
              <w:t>(New building)</w:t>
            </w:r>
          </w:p>
        </w:tc>
        <w:tc>
          <w:tcPr>
            <w:tcW w:w="1845" w:type="dxa"/>
          </w:tcPr>
          <w:p w:rsidR="00C2075D" w:rsidRPr="0049529E" w:rsidRDefault="00C2075D" w:rsidP="00D810AF">
            <w:pPr>
              <w:spacing w:after="0" w:line="240" w:lineRule="auto"/>
              <w:rPr>
                <w:sz w:val="18"/>
                <w:szCs w:val="18"/>
              </w:rPr>
            </w:pPr>
            <w:r w:rsidRPr="0049529E">
              <w:rPr>
                <w:sz w:val="18"/>
                <w:szCs w:val="18"/>
              </w:rPr>
              <w:t>Aims to treasure life by improving the quality of life for those who have life limiting illnesses</w:t>
            </w:r>
          </w:p>
        </w:tc>
        <w:tc>
          <w:tcPr>
            <w:tcW w:w="1950" w:type="dxa"/>
          </w:tcPr>
          <w:p w:rsidR="00C2075D" w:rsidRPr="0049529E" w:rsidRDefault="00C2075D" w:rsidP="00D810AF">
            <w:pPr>
              <w:spacing w:after="0" w:line="240" w:lineRule="auto"/>
              <w:rPr>
                <w:sz w:val="18"/>
                <w:szCs w:val="18"/>
              </w:rPr>
            </w:pPr>
            <w:r w:rsidRPr="0049529E">
              <w:rPr>
                <w:sz w:val="18"/>
                <w:szCs w:val="18"/>
              </w:rPr>
              <w:t>To build a first class facility</w:t>
            </w:r>
          </w:p>
        </w:tc>
        <w:tc>
          <w:tcPr>
            <w:tcW w:w="1753" w:type="dxa"/>
          </w:tcPr>
          <w:p w:rsidR="00C2075D" w:rsidRPr="0049529E" w:rsidRDefault="00C2075D" w:rsidP="00D810AF">
            <w:pPr>
              <w:spacing w:after="0" w:line="240" w:lineRule="auto"/>
              <w:rPr>
                <w:sz w:val="18"/>
                <w:szCs w:val="18"/>
              </w:rPr>
            </w:pPr>
            <w:r w:rsidRPr="0049529E">
              <w:rPr>
                <w:sz w:val="18"/>
                <w:szCs w:val="18"/>
              </w:rPr>
              <w:t>Demolition works to be undertaken and seek tenders and appoint contractors by end Feb 2012</w:t>
            </w:r>
          </w:p>
        </w:tc>
        <w:tc>
          <w:tcPr>
            <w:tcW w:w="1753" w:type="dxa"/>
          </w:tcPr>
          <w:p w:rsidR="00C2075D" w:rsidRPr="0049529E" w:rsidRDefault="00C2075D" w:rsidP="00D810AF">
            <w:pPr>
              <w:spacing w:after="0" w:line="240" w:lineRule="auto"/>
              <w:rPr>
                <w:sz w:val="18"/>
                <w:szCs w:val="18"/>
              </w:rPr>
            </w:pPr>
            <w:r w:rsidRPr="0049529E">
              <w:rPr>
                <w:sz w:val="18"/>
                <w:szCs w:val="18"/>
              </w:rPr>
              <w:t>Buildings demolished on time and preferred contractor appointed</w:t>
            </w:r>
          </w:p>
        </w:tc>
      </w:tr>
      <w:tr w:rsidR="00C2075D" w:rsidRPr="0049529E" w:rsidTr="00D810AF">
        <w:tc>
          <w:tcPr>
            <w:tcW w:w="1941" w:type="dxa"/>
          </w:tcPr>
          <w:p w:rsidR="00C2075D" w:rsidRPr="0049529E" w:rsidRDefault="00C2075D" w:rsidP="00D810AF">
            <w:pPr>
              <w:spacing w:after="0" w:line="240" w:lineRule="auto"/>
              <w:rPr>
                <w:sz w:val="18"/>
                <w:szCs w:val="18"/>
              </w:rPr>
            </w:pPr>
            <w:proofErr w:type="spellStart"/>
            <w:r w:rsidRPr="0049529E">
              <w:rPr>
                <w:sz w:val="18"/>
                <w:szCs w:val="18"/>
              </w:rPr>
              <w:t>Ellenor</w:t>
            </w:r>
            <w:proofErr w:type="spellEnd"/>
            <w:r w:rsidRPr="0049529E">
              <w:rPr>
                <w:sz w:val="18"/>
                <w:szCs w:val="18"/>
              </w:rPr>
              <w:t xml:space="preserve"> </w:t>
            </w:r>
            <w:r>
              <w:rPr>
                <w:sz w:val="18"/>
                <w:szCs w:val="18"/>
              </w:rPr>
              <w:t>L</w:t>
            </w:r>
            <w:r w:rsidRPr="0049529E">
              <w:rPr>
                <w:sz w:val="18"/>
                <w:szCs w:val="18"/>
              </w:rPr>
              <w:t>ions</w:t>
            </w:r>
          </w:p>
          <w:p w:rsidR="00C2075D" w:rsidRPr="0049529E" w:rsidRDefault="00C2075D" w:rsidP="00D810AF">
            <w:pPr>
              <w:spacing w:after="0" w:line="240" w:lineRule="auto"/>
              <w:rPr>
                <w:sz w:val="18"/>
                <w:szCs w:val="18"/>
              </w:rPr>
            </w:pPr>
          </w:p>
          <w:p w:rsidR="00C2075D" w:rsidRPr="0049529E" w:rsidRDefault="00C2075D" w:rsidP="00D810AF">
            <w:pPr>
              <w:spacing w:after="0" w:line="240" w:lineRule="auto"/>
              <w:rPr>
                <w:sz w:val="18"/>
                <w:szCs w:val="18"/>
              </w:rPr>
            </w:pPr>
            <w:r w:rsidRPr="0049529E">
              <w:rPr>
                <w:sz w:val="18"/>
                <w:szCs w:val="18"/>
              </w:rPr>
              <w:t>(</w:t>
            </w:r>
            <w:proofErr w:type="spellStart"/>
            <w:r w:rsidRPr="0049529E">
              <w:rPr>
                <w:sz w:val="18"/>
                <w:szCs w:val="18"/>
              </w:rPr>
              <w:t>Non cancer</w:t>
            </w:r>
            <w:proofErr w:type="spellEnd"/>
            <w:r w:rsidRPr="0049529E">
              <w:rPr>
                <w:sz w:val="18"/>
                <w:szCs w:val="18"/>
              </w:rPr>
              <w:t>)</w:t>
            </w:r>
          </w:p>
        </w:tc>
        <w:tc>
          <w:tcPr>
            <w:tcW w:w="1845" w:type="dxa"/>
          </w:tcPr>
          <w:p w:rsidR="00C2075D" w:rsidRPr="0049529E" w:rsidRDefault="00C2075D" w:rsidP="00D810AF">
            <w:pPr>
              <w:spacing w:after="0" w:line="240" w:lineRule="auto"/>
              <w:rPr>
                <w:sz w:val="18"/>
                <w:szCs w:val="18"/>
              </w:rPr>
            </w:pPr>
            <w:r w:rsidRPr="0049529E">
              <w:rPr>
                <w:sz w:val="18"/>
                <w:szCs w:val="18"/>
              </w:rPr>
              <w:t>To promote the relief of sickness</w:t>
            </w:r>
          </w:p>
        </w:tc>
        <w:tc>
          <w:tcPr>
            <w:tcW w:w="1950" w:type="dxa"/>
          </w:tcPr>
          <w:p w:rsidR="00C2075D" w:rsidRPr="0049529E" w:rsidRDefault="00C2075D" w:rsidP="00D810AF">
            <w:pPr>
              <w:spacing w:after="0" w:line="240" w:lineRule="auto"/>
              <w:rPr>
                <w:sz w:val="18"/>
                <w:szCs w:val="18"/>
              </w:rPr>
            </w:pPr>
            <w:r w:rsidRPr="0049529E">
              <w:rPr>
                <w:sz w:val="18"/>
                <w:szCs w:val="18"/>
              </w:rPr>
              <w:t>To continue to improve access and services for patients with condition other than cancer</w:t>
            </w:r>
          </w:p>
        </w:tc>
        <w:tc>
          <w:tcPr>
            <w:tcW w:w="1753" w:type="dxa"/>
          </w:tcPr>
          <w:p w:rsidR="00C2075D" w:rsidRPr="0049529E" w:rsidRDefault="00C2075D" w:rsidP="00D810AF">
            <w:pPr>
              <w:spacing w:after="0" w:line="240" w:lineRule="auto"/>
              <w:rPr>
                <w:sz w:val="18"/>
                <w:szCs w:val="18"/>
              </w:rPr>
            </w:pPr>
            <w:r w:rsidRPr="0049529E">
              <w:rPr>
                <w:sz w:val="18"/>
                <w:szCs w:val="18"/>
              </w:rPr>
              <w:t>A key objective for us is to increase our involvement with patients with a non-cancer diagnosis who are in need of our specialist symptom management and support services</w:t>
            </w:r>
          </w:p>
        </w:tc>
        <w:tc>
          <w:tcPr>
            <w:tcW w:w="1753" w:type="dxa"/>
          </w:tcPr>
          <w:p w:rsidR="00C2075D" w:rsidRPr="0049529E" w:rsidRDefault="00C2075D" w:rsidP="00D810AF">
            <w:pPr>
              <w:spacing w:after="0" w:line="240" w:lineRule="auto"/>
              <w:rPr>
                <w:sz w:val="18"/>
                <w:szCs w:val="18"/>
              </w:rPr>
            </w:pPr>
            <w:r w:rsidRPr="0049529E">
              <w:rPr>
                <w:sz w:val="18"/>
                <w:szCs w:val="18"/>
              </w:rPr>
              <w:t>Previously approximately 13% of our patients had a condition other than cancer whereas in 2010—11 this has increased to 22%</w:t>
            </w:r>
          </w:p>
        </w:tc>
      </w:tr>
      <w:tr w:rsidR="00C2075D" w:rsidRPr="0049529E" w:rsidTr="00D810AF">
        <w:tc>
          <w:tcPr>
            <w:tcW w:w="1941" w:type="dxa"/>
          </w:tcPr>
          <w:p w:rsidR="00C2075D" w:rsidRPr="0049529E" w:rsidRDefault="00C2075D" w:rsidP="00D810AF">
            <w:pPr>
              <w:spacing w:after="0" w:line="240" w:lineRule="auto"/>
              <w:rPr>
                <w:sz w:val="18"/>
                <w:szCs w:val="18"/>
              </w:rPr>
            </w:pPr>
            <w:r w:rsidRPr="0049529E">
              <w:rPr>
                <w:sz w:val="18"/>
                <w:szCs w:val="18"/>
              </w:rPr>
              <w:t>Wakefield</w:t>
            </w:r>
          </w:p>
          <w:p w:rsidR="00C2075D" w:rsidRPr="0049529E" w:rsidRDefault="00C2075D" w:rsidP="00D810AF">
            <w:pPr>
              <w:spacing w:after="0" w:line="240" w:lineRule="auto"/>
              <w:rPr>
                <w:sz w:val="18"/>
                <w:szCs w:val="18"/>
              </w:rPr>
            </w:pPr>
          </w:p>
          <w:p w:rsidR="00C2075D" w:rsidRPr="0049529E" w:rsidRDefault="00C2075D" w:rsidP="00D810AF">
            <w:pPr>
              <w:spacing w:after="0" w:line="240" w:lineRule="auto"/>
              <w:rPr>
                <w:sz w:val="18"/>
                <w:szCs w:val="18"/>
              </w:rPr>
            </w:pPr>
            <w:r w:rsidRPr="0049529E">
              <w:rPr>
                <w:sz w:val="18"/>
                <w:szCs w:val="18"/>
              </w:rPr>
              <w:t>(Peace)</w:t>
            </w:r>
          </w:p>
        </w:tc>
        <w:tc>
          <w:tcPr>
            <w:tcW w:w="1845" w:type="dxa"/>
          </w:tcPr>
          <w:p w:rsidR="00C2075D" w:rsidRPr="0049529E" w:rsidRDefault="00C2075D" w:rsidP="00D810AF">
            <w:pPr>
              <w:spacing w:after="0" w:line="240" w:lineRule="auto"/>
              <w:rPr>
                <w:sz w:val="18"/>
                <w:szCs w:val="18"/>
              </w:rPr>
            </w:pPr>
            <w:r w:rsidRPr="0049529E">
              <w:rPr>
                <w:sz w:val="18"/>
                <w:szCs w:val="18"/>
              </w:rPr>
              <w:t>The hospice endorses a holistic approach in promoting quality of life for patients as well as providing continuing support for families and carers.</w:t>
            </w:r>
          </w:p>
        </w:tc>
        <w:tc>
          <w:tcPr>
            <w:tcW w:w="1950" w:type="dxa"/>
          </w:tcPr>
          <w:p w:rsidR="00C2075D" w:rsidRPr="0049529E" w:rsidRDefault="00C2075D" w:rsidP="00D810AF">
            <w:pPr>
              <w:spacing w:after="0" w:line="240" w:lineRule="auto"/>
              <w:rPr>
                <w:sz w:val="18"/>
                <w:szCs w:val="18"/>
              </w:rPr>
            </w:pPr>
            <w:r w:rsidRPr="0049529E">
              <w:rPr>
                <w:sz w:val="18"/>
                <w:szCs w:val="18"/>
              </w:rPr>
              <w:t>A strategic priority will develop the new team and support changes required key departments (clinical, fundraising and finance) to improve quality efficiency and activity.</w:t>
            </w:r>
          </w:p>
        </w:tc>
        <w:tc>
          <w:tcPr>
            <w:tcW w:w="1753" w:type="dxa"/>
          </w:tcPr>
          <w:p w:rsidR="00C2075D" w:rsidRPr="0049529E" w:rsidRDefault="00C2075D" w:rsidP="00D810AF">
            <w:pPr>
              <w:spacing w:after="0" w:line="240" w:lineRule="auto"/>
              <w:rPr>
                <w:sz w:val="18"/>
                <w:szCs w:val="18"/>
              </w:rPr>
            </w:pPr>
            <w:r w:rsidRPr="0049529E">
              <w:rPr>
                <w:sz w:val="18"/>
                <w:szCs w:val="18"/>
              </w:rPr>
              <w:t xml:space="preserve">Enhance the spiritual elements of the gardens at the rear of the hospice to provide peace and tranquillity for patients, relatives and staff </w:t>
            </w:r>
          </w:p>
        </w:tc>
        <w:tc>
          <w:tcPr>
            <w:tcW w:w="1753" w:type="dxa"/>
          </w:tcPr>
          <w:p w:rsidR="00C2075D" w:rsidRPr="0049529E" w:rsidRDefault="00C2075D" w:rsidP="00D810AF">
            <w:pPr>
              <w:spacing w:after="0" w:line="240" w:lineRule="auto"/>
              <w:rPr>
                <w:sz w:val="18"/>
                <w:szCs w:val="18"/>
              </w:rPr>
            </w:pPr>
            <w:r w:rsidRPr="0049529E">
              <w:rPr>
                <w:sz w:val="18"/>
                <w:szCs w:val="18"/>
              </w:rPr>
              <w:t xml:space="preserve"> Achieved. ..(the garden is) used by hospice chaplains to support patients carers and particularly the bereaved in their spiritual journey through times of adversity</w:t>
            </w:r>
          </w:p>
        </w:tc>
      </w:tr>
      <w:tr w:rsidR="00C2075D" w:rsidRPr="0049529E" w:rsidTr="00D810AF">
        <w:tc>
          <w:tcPr>
            <w:tcW w:w="1941" w:type="dxa"/>
          </w:tcPr>
          <w:p w:rsidR="00C2075D" w:rsidRPr="0049529E" w:rsidRDefault="00C2075D" w:rsidP="00D810AF">
            <w:pPr>
              <w:spacing w:after="0" w:line="240" w:lineRule="auto"/>
              <w:rPr>
                <w:sz w:val="18"/>
                <w:szCs w:val="18"/>
              </w:rPr>
            </w:pPr>
            <w:r w:rsidRPr="0049529E">
              <w:rPr>
                <w:sz w:val="18"/>
                <w:szCs w:val="18"/>
              </w:rPr>
              <w:t>St Michael Hastings</w:t>
            </w:r>
          </w:p>
          <w:p w:rsidR="00C2075D" w:rsidRPr="0049529E" w:rsidRDefault="00C2075D" w:rsidP="00D810AF">
            <w:pPr>
              <w:spacing w:after="0" w:line="240" w:lineRule="auto"/>
              <w:rPr>
                <w:sz w:val="18"/>
                <w:szCs w:val="18"/>
              </w:rPr>
            </w:pPr>
          </w:p>
          <w:p w:rsidR="00C2075D" w:rsidRPr="0049529E" w:rsidRDefault="00C2075D" w:rsidP="00D810AF">
            <w:pPr>
              <w:spacing w:after="0" w:line="240" w:lineRule="auto"/>
              <w:rPr>
                <w:sz w:val="18"/>
                <w:szCs w:val="18"/>
              </w:rPr>
            </w:pPr>
            <w:r w:rsidRPr="0049529E">
              <w:rPr>
                <w:sz w:val="18"/>
                <w:szCs w:val="18"/>
              </w:rPr>
              <w:t>(Widen access)</w:t>
            </w:r>
          </w:p>
        </w:tc>
        <w:tc>
          <w:tcPr>
            <w:tcW w:w="1845" w:type="dxa"/>
          </w:tcPr>
          <w:p w:rsidR="00C2075D" w:rsidRPr="0049529E" w:rsidRDefault="00C2075D" w:rsidP="00D810AF">
            <w:pPr>
              <w:spacing w:after="0" w:line="240" w:lineRule="auto"/>
              <w:rPr>
                <w:sz w:val="18"/>
                <w:szCs w:val="18"/>
              </w:rPr>
            </w:pPr>
            <w:r w:rsidRPr="0049529E">
              <w:rPr>
                <w:sz w:val="18"/>
                <w:szCs w:val="18"/>
              </w:rPr>
              <w:t>We support patients and their families holistically including chaplaincy social work and bereavement support</w:t>
            </w:r>
          </w:p>
        </w:tc>
        <w:tc>
          <w:tcPr>
            <w:tcW w:w="1950" w:type="dxa"/>
          </w:tcPr>
          <w:p w:rsidR="00C2075D" w:rsidRPr="0049529E" w:rsidRDefault="00C2075D" w:rsidP="00D810AF">
            <w:pPr>
              <w:spacing w:after="0" w:line="240" w:lineRule="auto"/>
              <w:rPr>
                <w:sz w:val="18"/>
                <w:szCs w:val="18"/>
              </w:rPr>
            </w:pPr>
            <w:r w:rsidRPr="0049529E">
              <w:rPr>
                <w:sz w:val="18"/>
                <w:szCs w:val="18"/>
              </w:rPr>
              <w:t>To ensure that access to our services is available fairly and without discrimination</w:t>
            </w:r>
          </w:p>
        </w:tc>
        <w:tc>
          <w:tcPr>
            <w:tcW w:w="1753" w:type="dxa"/>
          </w:tcPr>
          <w:p w:rsidR="00C2075D" w:rsidRPr="0049529E" w:rsidRDefault="00C2075D" w:rsidP="00D810AF">
            <w:pPr>
              <w:spacing w:after="0" w:line="240" w:lineRule="auto"/>
              <w:rPr>
                <w:sz w:val="18"/>
                <w:szCs w:val="18"/>
              </w:rPr>
            </w:pPr>
            <w:r w:rsidRPr="0049529E">
              <w:rPr>
                <w:sz w:val="18"/>
                <w:szCs w:val="18"/>
              </w:rPr>
              <w:t>Increase and develop access to our services</w:t>
            </w:r>
          </w:p>
        </w:tc>
        <w:tc>
          <w:tcPr>
            <w:tcW w:w="1753" w:type="dxa"/>
          </w:tcPr>
          <w:p w:rsidR="00C2075D" w:rsidRPr="0049529E" w:rsidRDefault="00C2075D" w:rsidP="00D810AF">
            <w:pPr>
              <w:spacing w:after="0" w:line="240" w:lineRule="auto"/>
              <w:rPr>
                <w:sz w:val="18"/>
                <w:szCs w:val="18"/>
              </w:rPr>
            </w:pPr>
            <w:r w:rsidRPr="0049529E">
              <w:rPr>
                <w:sz w:val="18"/>
                <w:szCs w:val="18"/>
              </w:rPr>
              <w:t>In-patient admissions in 2011-12 were about the same as 2010-11 but our community presence continued to grow. A multi-faith room was opened</w:t>
            </w:r>
          </w:p>
        </w:tc>
      </w:tr>
    </w:tbl>
    <w:p w:rsidR="00003CE1" w:rsidRDefault="00003CE1" w:rsidP="00003CE1">
      <w:pPr>
        <w:rPr>
          <w:b/>
          <w:sz w:val="24"/>
          <w:szCs w:val="24"/>
        </w:rPr>
      </w:pPr>
    </w:p>
    <w:p w:rsidR="00003CE1" w:rsidRDefault="00C2075D" w:rsidP="00003CE1">
      <w:pPr>
        <w:rPr>
          <w:b/>
          <w:sz w:val="24"/>
          <w:szCs w:val="24"/>
        </w:rPr>
      </w:pPr>
      <w:r w:rsidRPr="00D5105E">
        <w:rPr>
          <w:b/>
          <w:sz w:val="24"/>
          <w:szCs w:val="24"/>
        </w:rPr>
        <w:lastRenderedPageBreak/>
        <w:t xml:space="preserve">Table </w:t>
      </w:r>
      <w:r w:rsidR="00314EE9">
        <w:rPr>
          <w:b/>
          <w:sz w:val="24"/>
          <w:szCs w:val="24"/>
        </w:rPr>
        <w:t>5:</w:t>
      </w:r>
      <w:r>
        <w:rPr>
          <w:b/>
          <w:sz w:val="24"/>
          <w:szCs w:val="24"/>
        </w:rPr>
        <w:t xml:space="preserve"> Examples of aligned service provision aims, strategies, objectives and achievement</w:t>
      </w:r>
    </w:p>
    <w:p w:rsidR="00C2075D" w:rsidRDefault="00631850" w:rsidP="00003CE1">
      <w:pPr>
        <w:rPr>
          <w:sz w:val="24"/>
          <w:szCs w:val="24"/>
        </w:rPr>
      </w:pPr>
      <w:r>
        <w:rPr>
          <w:sz w:val="24"/>
          <w:szCs w:val="24"/>
        </w:rPr>
        <w:t>O</w:t>
      </w:r>
      <w:r w:rsidR="00C2075D" w:rsidRPr="00A653AE">
        <w:rPr>
          <w:sz w:val="24"/>
          <w:szCs w:val="24"/>
        </w:rPr>
        <w:t xml:space="preserve">nce service provision is excluded, there is much less alignment across the remaining themes of finance, partnerships, staff/volunteers and education.  The cases below represent the most clearly defined examples rather than typical patterns and, even allowing for the vague definitions, only 5% are thematically aligned across aims, strategies, objectives and achievements. More hospices match their aims and strategy but these still only represent 9.5% of possible opportunities while around 14% match their strategies to objectives and achievements. </w:t>
      </w:r>
      <w:r w:rsidR="00C2075D">
        <w:rPr>
          <w:sz w:val="24"/>
          <w:szCs w:val="24"/>
        </w:rPr>
        <w:t>(</w:t>
      </w:r>
      <w:r w:rsidR="00C2075D" w:rsidRPr="00A653AE">
        <w:rPr>
          <w:sz w:val="24"/>
          <w:szCs w:val="24"/>
        </w:rPr>
        <w:t xml:space="preserve">Measures have </w:t>
      </w:r>
      <w:r w:rsidR="00C2075D">
        <w:rPr>
          <w:sz w:val="24"/>
          <w:szCs w:val="24"/>
        </w:rPr>
        <w:t xml:space="preserve">also </w:t>
      </w:r>
      <w:r w:rsidR="00C2075D" w:rsidRPr="00A653AE">
        <w:rPr>
          <w:sz w:val="24"/>
          <w:szCs w:val="24"/>
        </w:rPr>
        <w:t>been included here to show how the hospices set out to measure their strategies.</w:t>
      </w:r>
      <w:r w:rsidR="00C2075D">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4"/>
        <w:gridCol w:w="1424"/>
        <w:gridCol w:w="1683"/>
        <w:gridCol w:w="1302"/>
        <w:gridCol w:w="1663"/>
        <w:gridCol w:w="1796"/>
      </w:tblGrid>
      <w:tr w:rsidR="00C2075D" w:rsidRPr="0049529E" w:rsidTr="00D810AF">
        <w:tc>
          <w:tcPr>
            <w:tcW w:w="1374" w:type="dxa"/>
          </w:tcPr>
          <w:p w:rsidR="00C2075D" w:rsidRPr="0049529E" w:rsidRDefault="00C2075D" w:rsidP="00D810AF">
            <w:pPr>
              <w:spacing w:after="0" w:line="240" w:lineRule="auto"/>
              <w:rPr>
                <w:b/>
              </w:rPr>
            </w:pPr>
            <w:r w:rsidRPr="0049529E">
              <w:rPr>
                <w:b/>
              </w:rPr>
              <w:t>Hospice</w:t>
            </w:r>
          </w:p>
        </w:tc>
        <w:tc>
          <w:tcPr>
            <w:tcW w:w="1424" w:type="dxa"/>
          </w:tcPr>
          <w:p w:rsidR="00C2075D" w:rsidRPr="0049529E" w:rsidRDefault="00C2075D" w:rsidP="00D810AF">
            <w:pPr>
              <w:spacing w:after="0" w:line="240" w:lineRule="auto"/>
              <w:rPr>
                <w:b/>
              </w:rPr>
            </w:pPr>
            <w:r w:rsidRPr="0049529E">
              <w:rPr>
                <w:b/>
              </w:rPr>
              <w:t>Aim</w:t>
            </w:r>
          </w:p>
        </w:tc>
        <w:tc>
          <w:tcPr>
            <w:tcW w:w="1683" w:type="dxa"/>
          </w:tcPr>
          <w:p w:rsidR="00C2075D" w:rsidRPr="0049529E" w:rsidRDefault="00C2075D" w:rsidP="00D810AF">
            <w:pPr>
              <w:spacing w:after="0" w:line="240" w:lineRule="auto"/>
              <w:rPr>
                <w:b/>
              </w:rPr>
            </w:pPr>
            <w:r w:rsidRPr="0049529E">
              <w:rPr>
                <w:b/>
              </w:rPr>
              <w:t>Strategy</w:t>
            </w:r>
          </w:p>
        </w:tc>
        <w:tc>
          <w:tcPr>
            <w:tcW w:w="1302" w:type="dxa"/>
          </w:tcPr>
          <w:p w:rsidR="00C2075D" w:rsidRPr="0049529E" w:rsidRDefault="00C2075D" w:rsidP="00D810AF">
            <w:pPr>
              <w:spacing w:after="0" w:line="240" w:lineRule="auto"/>
              <w:rPr>
                <w:b/>
              </w:rPr>
            </w:pPr>
            <w:r w:rsidRPr="0049529E">
              <w:rPr>
                <w:b/>
              </w:rPr>
              <w:t>Measure</w:t>
            </w:r>
          </w:p>
        </w:tc>
        <w:tc>
          <w:tcPr>
            <w:tcW w:w="1663" w:type="dxa"/>
          </w:tcPr>
          <w:p w:rsidR="00C2075D" w:rsidRPr="0049529E" w:rsidRDefault="00C2075D" w:rsidP="00D810AF">
            <w:pPr>
              <w:spacing w:after="0" w:line="240" w:lineRule="auto"/>
              <w:rPr>
                <w:b/>
              </w:rPr>
            </w:pPr>
            <w:r w:rsidRPr="0049529E">
              <w:rPr>
                <w:b/>
              </w:rPr>
              <w:t>Objective</w:t>
            </w:r>
          </w:p>
        </w:tc>
        <w:tc>
          <w:tcPr>
            <w:tcW w:w="1796" w:type="dxa"/>
          </w:tcPr>
          <w:p w:rsidR="00C2075D" w:rsidRPr="0049529E" w:rsidRDefault="00C2075D" w:rsidP="00D810AF">
            <w:pPr>
              <w:spacing w:after="0" w:line="240" w:lineRule="auto"/>
              <w:rPr>
                <w:b/>
              </w:rPr>
            </w:pPr>
            <w:r w:rsidRPr="0049529E">
              <w:rPr>
                <w:b/>
              </w:rPr>
              <w:t>Achievement</w:t>
            </w:r>
          </w:p>
        </w:tc>
      </w:tr>
      <w:tr w:rsidR="00C2075D" w:rsidRPr="0049529E" w:rsidTr="00D810AF">
        <w:tc>
          <w:tcPr>
            <w:tcW w:w="1374" w:type="dxa"/>
          </w:tcPr>
          <w:p w:rsidR="00C2075D" w:rsidRPr="0049529E" w:rsidRDefault="00C2075D" w:rsidP="00D810AF">
            <w:pPr>
              <w:spacing w:after="0" w:line="240" w:lineRule="auto"/>
              <w:rPr>
                <w:sz w:val="18"/>
                <w:szCs w:val="18"/>
              </w:rPr>
            </w:pPr>
            <w:r w:rsidRPr="0049529E">
              <w:rPr>
                <w:sz w:val="18"/>
                <w:szCs w:val="18"/>
              </w:rPr>
              <w:t>St Luke’s Plymouth</w:t>
            </w:r>
          </w:p>
          <w:p w:rsidR="00C2075D" w:rsidRPr="0049529E" w:rsidRDefault="00C2075D" w:rsidP="00D810AF">
            <w:pPr>
              <w:spacing w:after="0" w:line="240" w:lineRule="auto"/>
              <w:rPr>
                <w:sz w:val="18"/>
                <w:szCs w:val="18"/>
              </w:rPr>
            </w:pPr>
            <w:r w:rsidRPr="0049529E">
              <w:rPr>
                <w:sz w:val="18"/>
                <w:szCs w:val="18"/>
              </w:rPr>
              <w:t>(finance)</w:t>
            </w:r>
          </w:p>
        </w:tc>
        <w:tc>
          <w:tcPr>
            <w:tcW w:w="1424" w:type="dxa"/>
          </w:tcPr>
          <w:p w:rsidR="00C2075D" w:rsidRPr="0049529E" w:rsidRDefault="00C2075D" w:rsidP="00D810AF">
            <w:pPr>
              <w:spacing w:after="0" w:line="240" w:lineRule="auto"/>
              <w:rPr>
                <w:sz w:val="18"/>
                <w:szCs w:val="18"/>
              </w:rPr>
            </w:pPr>
            <w:r w:rsidRPr="0049529E">
              <w:rPr>
                <w:sz w:val="18"/>
                <w:szCs w:val="18"/>
              </w:rPr>
              <w:t>We aim to increase resources into the services through innovation and enterprise</w:t>
            </w:r>
          </w:p>
        </w:tc>
        <w:tc>
          <w:tcPr>
            <w:tcW w:w="1683" w:type="dxa"/>
          </w:tcPr>
          <w:p w:rsidR="00C2075D" w:rsidRPr="0049529E" w:rsidRDefault="00C2075D" w:rsidP="00D810AF">
            <w:pPr>
              <w:spacing w:after="0" w:line="240" w:lineRule="auto"/>
              <w:rPr>
                <w:sz w:val="18"/>
                <w:szCs w:val="18"/>
              </w:rPr>
            </w:pPr>
            <w:r w:rsidRPr="0049529E">
              <w:rPr>
                <w:sz w:val="18"/>
                <w:szCs w:val="18"/>
              </w:rPr>
              <w:t>To develop additional sources of income and hence achieve sufficient surplus</w:t>
            </w:r>
          </w:p>
          <w:p w:rsidR="00C2075D" w:rsidRPr="0049529E" w:rsidRDefault="00C2075D" w:rsidP="00D810AF">
            <w:pPr>
              <w:spacing w:after="0" w:line="240" w:lineRule="auto"/>
              <w:rPr>
                <w:sz w:val="18"/>
                <w:szCs w:val="18"/>
              </w:rPr>
            </w:pPr>
            <w:r w:rsidRPr="0049529E">
              <w:rPr>
                <w:sz w:val="18"/>
                <w:szCs w:val="18"/>
              </w:rPr>
              <w:t>To build reserves to 6 months expenditure</w:t>
            </w:r>
          </w:p>
        </w:tc>
        <w:tc>
          <w:tcPr>
            <w:tcW w:w="1302" w:type="dxa"/>
          </w:tcPr>
          <w:p w:rsidR="00C2075D" w:rsidRPr="0049529E" w:rsidRDefault="00C2075D" w:rsidP="00D810AF">
            <w:pPr>
              <w:spacing w:after="0" w:line="240" w:lineRule="auto"/>
              <w:rPr>
                <w:sz w:val="18"/>
                <w:szCs w:val="18"/>
              </w:rPr>
            </w:pPr>
            <w:r w:rsidRPr="0049529E">
              <w:rPr>
                <w:sz w:val="18"/>
                <w:szCs w:val="18"/>
              </w:rPr>
              <w:t>Annual Review</w:t>
            </w:r>
          </w:p>
        </w:tc>
        <w:tc>
          <w:tcPr>
            <w:tcW w:w="1663" w:type="dxa"/>
          </w:tcPr>
          <w:p w:rsidR="00C2075D" w:rsidRPr="0049529E" w:rsidRDefault="00C2075D" w:rsidP="00D810AF">
            <w:pPr>
              <w:spacing w:after="0" w:line="240" w:lineRule="auto"/>
              <w:rPr>
                <w:sz w:val="18"/>
                <w:szCs w:val="18"/>
              </w:rPr>
            </w:pPr>
            <w:r w:rsidRPr="0049529E">
              <w:rPr>
                <w:sz w:val="18"/>
                <w:szCs w:val="18"/>
              </w:rPr>
              <w:t xml:space="preserve">Same as Strategy but with </w:t>
            </w:r>
            <w:proofErr w:type="gramStart"/>
            <w:r w:rsidRPr="0049529E">
              <w:rPr>
                <w:sz w:val="18"/>
                <w:szCs w:val="18"/>
              </w:rPr>
              <w:t>‘ and</w:t>
            </w:r>
            <w:proofErr w:type="gramEnd"/>
            <w:r w:rsidRPr="0049529E">
              <w:rPr>
                <w:sz w:val="18"/>
                <w:szCs w:val="18"/>
              </w:rPr>
              <w:t xml:space="preserve"> develop initi</w:t>
            </w:r>
            <w:r>
              <w:rPr>
                <w:sz w:val="18"/>
                <w:szCs w:val="18"/>
              </w:rPr>
              <w:t>a</w:t>
            </w:r>
            <w:r w:rsidRPr="0049529E">
              <w:rPr>
                <w:sz w:val="18"/>
                <w:szCs w:val="18"/>
              </w:rPr>
              <w:t>tives. Increase income through social enterprise’</w:t>
            </w:r>
          </w:p>
        </w:tc>
        <w:tc>
          <w:tcPr>
            <w:tcW w:w="1796" w:type="dxa"/>
          </w:tcPr>
          <w:p w:rsidR="00C2075D" w:rsidRPr="0049529E" w:rsidRDefault="00C2075D" w:rsidP="00D810AF">
            <w:pPr>
              <w:spacing w:after="0" w:line="240" w:lineRule="auto"/>
              <w:rPr>
                <w:sz w:val="18"/>
                <w:szCs w:val="18"/>
              </w:rPr>
            </w:pPr>
            <w:r w:rsidRPr="0049529E">
              <w:rPr>
                <w:sz w:val="18"/>
                <w:szCs w:val="18"/>
              </w:rPr>
              <w:t>Domiciliary care agency business plan prepared, CQC registration obtained and tenders submitted to gain contracts as well as private work. Marketing has commenced.</w:t>
            </w:r>
          </w:p>
        </w:tc>
      </w:tr>
      <w:tr w:rsidR="00C2075D" w:rsidRPr="0049529E" w:rsidTr="00D810AF">
        <w:tc>
          <w:tcPr>
            <w:tcW w:w="1374" w:type="dxa"/>
          </w:tcPr>
          <w:p w:rsidR="00C2075D" w:rsidRPr="0049529E" w:rsidRDefault="00C2075D" w:rsidP="00D810AF">
            <w:pPr>
              <w:spacing w:after="0" w:line="240" w:lineRule="auto"/>
              <w:rPr>
                <w:sz w:val="18"/>
                <w:szCs w:val="18"/>
              </w:rPr>
            </w:pPr>
            <w:r w:rsidRPr="0049529E">
              <w:rPr>
                <w:sz w:val="18"/>
                <w:szCs w:val="18"/>
              </w:rPr>
              <w:t>St Helena</w:t>
            </w:r>
          </w:p>
          <w:p w:rsidR="00C2075D" w:rsidRPr="0049529E" w:rsidRDefault="00C2075D" w:rsidP="00D810AF">
            <w:pPr>
              <w:spacing w:after="0" w:line="240" w:lineRule="auto"/>
              <w:rPr>
                <w:sz w:val="18"/>
                <w:szCs w:val="18"/>
              </w:rPr>
            </w:pPr>
            <w:r w:rsidRPr="0049529E">
              <w:rPr>
                <w:sz w:val="18"/>
                <w:szCs w:val="18"/>
              </w:rPr>
              <w:t>(education)</w:t>
            </w:r>
          </w:p>
        </w:tc>
        <w:tc>
          <w:tcPr>
            <w:tcW w:w="1424" w:type="dxa"/>
          </w:tcPr>
          <w:p w:rsidR="00C2075D" w:rsidRPr="0049529E" w:rsidRDefault="00C2075D" w:rsidP="00D810AF">
            <w:pPr>
              <w:spacing w:after="0" w:line="240" w:lineRule="auto"/>
              <w:rPr>
                <w:sz w:val="18"/>
                <w:szCs w:val="18"/>
              </w:rPr>
            </w:pPr>
            <w:r w:rsidRPr="0049529E">
              <w:rPr>
                <w:sz w:val="18"/>
                <w:szCs w:val="18"/>
              </w:rPr>
              <w:t>Training and education are available to Masters level through the Education Centre which is facilitated by a local university</w:t>
            </w:r>
          </w:p>
        </w:tc>
        <w:tc>
          <w:tcPr>
            <w:tcW w:w="1683" w:type="dxa"/>
          </w:tcPr>
          <w:p w:rsidR="00C2075D" w:rsidRPr="0049529E" w:rsidRDefault="00C2075D" w:rsidP="00D810AF">
            <w:pPr>
              <w:spacing w:after="0" w:line="240" w:lineRule="auto"/>
              <w:rPr>
                <w:sz w:val="18"/>
                <w:szCs w:val="18"/>
              </w:rPr>
            </w:pPr>
            <w:r w:rsidRPr="0049529E">
              <w:rPr>
                <w:sz w:val="18"/>
                <w:szCs w:val="18"/>
              </w:rPr>
              <w:t xml:space="preserve"> Extend education and research in palliative care. Build the national and regional profile of St Helena education and research</w:t>
            </w:r>
          </w:p>
        </w:tc>
        <w:tc>
          <w:tcPr>
            <w:tcW w:w="1302" w:type="dxa"/>
          </w:tcPr>
          <w:p w:rsidR="00C2075D" w:rsidRPr="0049529E" w:rsidRDefault="00C2075D" w:rsidP="00D810AF">
            <w:pPr>
              <w:spacing w:after="0" w:line="240" w:lineRule="auto"/>
              <w:rPr>
                <w:sz w:val="18"/>
                <w:szCs w:val="18"/>
              </w:rPr>
            </w:pPr>
            <w:r w:rsidRPr="0049529E">
              <w:rPr>
                <w:sz w:val="18"/>
                <w:szCs w:val="18"/>
              </w:rPr>
              <w:t>Operational plan</w:t>
            </w:r>
          </w:p>
        </w:tc>
        <w:tc>
          <w:tcPr>
            <w:tcW w:w="1663" w:type="dxa"/>
          </w:tcPr>
          <w:p w:rsidR="00C2075D" w:rsidRPr="0049529E" w:rsidRDefault="00C2075D" w:rsidP="00D810AF">
            <w:pPr>
              <w:spacing w:after="0" w:line="240" w:lineRule="auto"/>
              <w:rPr>
                <w:sz w:val="18"/>
                <w:szCs w:val="18"/>
              </w:rPr>
            </w:pPr>
            <w:r w:rsidRPr="0049529E">
              <w:rPr>
                <w:sz w:val="18"/>
                <w:szCs w:val="18"/>
              </w:rPr>
              <w:t>Extend education and research in palliative care</w:t>
            </w:r>
          </w:p>
        </w:tc>
        <w:tc>
          <w:tcPr>
            <w:tcW w:w="1796" w:type="dxa"/>
          </w:tcPr>
          <w:p w:rsidR="00C2075D" w:rsidRPr="0049529E" w:rsidRDefault="00C2075D" w:rsidP="00D810AF">
            <w:pPr>
              <w:spacing w:after="0" w:line="240" w:lineRule="auto"/>
              <w:rPr>
                <w:sz w:val="18"/>
                <w:szCs w:val="18"/>
              </w:rPr>
            </w:pPr>
            <w:r w:rsidRPr="0049529E">
              <w:rPr>
                <w:sz w:val="18"/>
                <w:szCs w:val="18"/>
              </w:rPr>
              <w:t>First year accreditation by Leeds University as Practice Development unit</w:t>
            </w:r>
          </w:p>
        </w:tc>
      </w:tr>
      <w:tr w:rsidR="00C2075D" w:rsidRPr="0049529E" w:rsidTr="00D810AF">
        <w:tc>
          <w:tcPr>
            <w:tcW w:w="1374" w:type="dxa"/>
          </w:tcPr>
          <w:p w:rsidR="00C2075D" w:rsidRPr="0049529E" w:rsidRDefault="00C2075D" w:rsidP="00D810AF">
            <w:pPr>
              <w:spacing w:after="0" w:line="240" w:lineRule="auto"/>
              <w:rPr>
                <w:sz w:val="18"/>
                <w:szCs w:val="18"/>
              </w:rPr>
            </w:pPr>
            <w:proofErr w:type="spellStart"/>
            <w:r w:rsidRPr="0049529E">
              <w:rPr>
                <w:sz w:val="18"/>
                <w:szCs w:val="18"/>
              </w:rPr>
              <w:t>Weldmar</w:t>
            </w:r>
            <w:proofErr w:type="spellEnd"/>
          </w:p>
          <w:p w:rsidR="00C2075D" w:rsidRPr="0049529E" w:rsidRDefault="00C2075D" w:rsidP="00D810AF">
            <w:pPr>
              <w:spacing w:after="0" w:line="240" w:lineRule="auto"/>
              <w:rPr>
                <w:sz w:val="18"/>
                <w:szCs w:val="18"/>
              </w:rPr>
            </w:pPr>
            <w:r w:rsidRPr="0049529E">
              <w:rPr>
                <w:sz w:val="18"/>
                <w:szCs w:val="18"/>
              </w:rPr>
              <w:t>(partnership)</w:t>
            </w:r>
          </w:p>
        </w:tc>
        <w:tc>
          <w:tcPr>
            <w:tcW w:w="1424" w:type="dxa"/>
          </w:tcPr>
          <w:p w:rsidR="00C2075D" w:rsidRDefault="00C2075D" w:rsidP="00D810AF">
            <w:pPr>
              <w:spacing w:after="0" w:line="240" w:lineRule="auto"/>
              <w:rPr>
                <w:sz w:val="18"/>
                <w:szCs w:val="18"/>
              </w:rPr>
            </w:pPr>
            <w:r w:rsidRPr="0049529E">
              <w:rPr>
                <w:sz w:val="18"/>
                <w:szCs w:val="18"/>
              </w:rPr>
              <w:t>We aim to be an active and constructive partner in health and social care in Dorset</w:t>
            </w:r>
          </w:p>
          <w:p w:rsidR="00003CE1" w:rsidRPr="0049529E" w:rsidRDefault="00003CE1" w:rsidP="00D810AF">
            <w:pPr>
              <w:spacing w:after="0" w:line="240" w:lineRule="auto"/>
              <w:rPr>
                <w:sz w:val="18"/>
                <w:szCs w:val="18"/>
              </w:rPr>
            </w:pPr>
          </w:p>
        </w:tc>
        <w:tc>
          <w:tcPr>
            <w:tcW w:w="1683" w:type="dxa"/>
          </w:tcPr>
          <w:p w:rsidR="00C2075D" w:rsidRPr="0049529E" w:rsidRDefault="00C2075D" w:rsidP="00D810AF">
            <w:pPr>
              <w:spacing w:after="0" w:line="240" w:lineRule="auto"/>
              <w:rPr>
                <w:sz w:val="18"/>
                <w:szCs w:val="18"/>
              </w:rPr>
            </w:pPr>
            <w:r w:rsidRPr="0049529E">
              <w:rPr>
                <w:sz w:val="18"/>
                <w:szCs w:val="18"/>
              </w:rPr>
              <w:t>Create excellent working relationships within the new NHS and local authority structure</w:t>
            </w:r>
          </w:p>
        </w:tc>
        <w:tc>
          <w:tcPr>
            <w:tcW w:w="1302" w:type="dxa"/>
          </w:tcPr>
          <w:p w:rsidR="00C2075D" w:rsidRPr="0049529E" w:rsidRDefault="00C2075D" w:rsidP="00D810AF">
            <w:pPr>
              <w:spacing w:after="0" w:line="240" w:lineRule="auto"/>
              <w:rPr>
                <w:sz w:val="18"/>
                <w:szCs w:val="18"/>
              </w:rPr>
            </w:pPr>
            <w:r w:rsidRPr="0049529E">
              <w:rPr>
                <w:sz w:val="18"/>
                <w:szCs w:val="18"/>
              </w:rPr>
              <w:t>Clinical audit of our and our partners services</w:t>
            </w:r>
          </w:p>
        </w:tc>
        <w:tc>
          <w:tcPr>
            <w:tcW w:w="1663" w:type="dxa"/>
          </w:tcPr>
          <w:p w:rsidR="00C2075D" w:rsidRPr="0049529E" w:rsidRDefault="00C2075D" w:rsidP="00D810AF">
            <w:pPr>
              <w:spacing w:after="0" w:line="240" w:lineRule="auto"/>
              <w:rPr>
                <w:sz w:val="18"/>
                <w:szCs w:val="18"/>
              </w:rPr>
            </w:pPr>
            <w:r w:rsidRPr="0049529E">
              <w:rPr>
                <w:sz w:val="18"/>
                <w:szCs w:val="18"/>
              </w:rPr>
              <w:t>Create strong commissioning relationships with the NHS</w:t>
            </w:r>
          </w:p>
        </w:tc>
        <w:tc>
          <w:tcPr>
            <w:tcW w:w="1796" w:type="dxa"/>
          </w:tcPr>
          <w:p w:rsidR="00C2075D" w:rsidRPr="0049529E" w:rsidRDefault="00C2075D" w:rsidP="00D810AF">
            <w:pPr>
              <w:spacing w:after="0" w:line="240" w:lineRule="auto"/>
              <w:rPr>
                <w:sz w:val="18"/>
                <w:szCs w:val="18"/>
              </w:rPr>
            </w:pPr>
            <w:r w:rsidRPr="0049529E">
              <w:rPr>
                <w:sz w:val="18"/>
                <w:szCs w:val="18"/>
              </w:rPr>
              <w:t>We have worked with commissioners to access small increases in funding at a difficult time</w:t>
            </w:r>
          </w:p>
        </w:tc>
      </w:tr>
      <w:tr w:rsidR="00C2075D" w:rsidRPr="0049529E" w:rsidTr="00D810AF">
        <w:tc>
          <w:tcPr>
            <w:tcW w:w="1374" w:type="dxa"/>
          </w:tcPr>
          <w:p w:rsidR="00C2075D" w:rsidRPr="0049529E" w:rsidRDefault="00C2075D" w:rsidP="00D810AF">
            <w:pPr>
              <w:spacing w:after="0" w:line="240" w:lineRule="auto"/>
              <w:rPr>
                <w:sz w:val="18"/>
                <w:szCs w:val="18"/>
              </w:rPr>
            </w:pPr>
            <w:r w:rsidRPr="0049529E">
              <w:rPr>
                <w:sz w:val="18"/>
                <w:szCs w:val="18"/>
              </w:rPr>
              <w:t>Heart of Kent</w:t>
            </w:r>
          </w:p>
          <w:p w:rsidR="00C2075D" w:rsidRPr="0049529E" w:rsidRDefault="00C2075D" w:rsidP="00D810AF">
            <w:pPr>
              <w:spacing w:after="0" w:line="240" w:lineRule="auto"/>
              <w:rPr>
                <w:sz w:val="18"/>
                <w:szCs w:val="18"/>
              </w:rPr>
            </w:pPr>
            <w:r w:rsidRPr="0049529E">
              <w:rPr>
                <w:sz w:val="18"/>
                <w:szCs w:val="18"/>
              </w:rPr>
              <w:t>(staff)</w:t>
            </w:r>
          </w:p>
        </w:tc>
        <w:tc>
          <w:tcPr>
            <w:tcW w:w="1424" w:type="dxa"/>
          </w:tcPr>
          <w:p w:rsidR="00C2075D" w:rsidRPr="0049529E" w:rsidRDefault="00C2075D" w:rsidP="00D810AF">
            <w:pPr>
              <w:spacing w:after="0" w:line="240" w:lineRule="auto"/>
              <w:rPr>
                <w:sz w:val="18"/>
                <w:szCs w:val="18"/>
              </w:rPr>
            </w:pPr>
            <w:r w:rsidRPr="0049529E">
              <w:rPr>
                <w:sz w:val="18"/>
                <w:szCs w:val="18"/>
              </w:rPr>
              <w:t>Utilising the specialist skills of  its multidisciplinary team</w:t>
            </w:r>
          </w:p>
        </w:tc>
        <w:tc>
          <w:tcPr>
            <w:tcW w:w="1683" w:type="dxa"/>
          </w:tcPr>
          <w:p w:rsidR="00C2075D" w:rsidRPr="0049529E" w:rsidRDefault="00C2075D" w:rsidP="00D810AF">
            <w:pPr>
              <w:spacing w:after="0" w:line="240" w:lineRule="auto"/>
              <w:rPr>
                <w:sz w:val="18"/>
                <w:szCs w:val="18"/>
              </w:rPr>
            </w:pPr>
            <w:r w:rsidRPr="0049529E">
              <w:rPr>
                <w:sz w:val="18"/>
                <w:szCs w:val="18"/>
              </w:rPr>
              <w:t>Having appropriate culture and skills</w:t>
            </w:r>
          </w:p>
        </w:tc>
        <w:tc>
          <w:tcPr>
            <w:tcW w:w="1302" w:type="dxa"/>
          </w:tcPr>
          <w:p w:rsidR="00C2075D" w:rsidRPr="0049529E" w:rsidRDefault="00C2075D" w:rsidP="00D810AF">
            <w:pPr>
              <w:spacing w:after="0" w:line="240" w:lineRule="auto"/>
              <w:rPr>
                <w:sz w:val="18"/>
                <w:szCs w:val="18"/>
              </w:rPr>
            </w:pPr>
            <w:r w:rsidRPr="0049529E">
              <w:rPr>
                <w:sz w:val="18"/>
                <w:szCs w:val="18"/>
              </w:rPr>
              <w:t>Staff satisfaction questionnaires</w:t>
            </w:r>
          </w:p>
        </w:tc>
        <w:tc>
          <w:tcPr>
            <w:tcW w:w="1663" w:type="dxa"/>
          </w:tcPr>
          <w:p w:rsidR="00C2075D" w:rsidRPr="0049529E" w:rsidRDefault="00C2075D" w:rsidP="00D810AF">
            <w:pPr>
              <w:spacing w:after="0" w:line="240" w:lineRule="auto"/>
              <w:rPr>
                <w:sz w:val="18"/>
                <w:szCs w:val="18"/>
              </w:rPr>
            </w:pPr>
            <w:r w:rsidRPr="0049529E">
              <w:rPr>
                <w:sz w:val="18"/>
                <w:szCs w:val="18"/>
              </w:rPr>
              <w:t>Develop personal and professional evidence based competencies which will inform the appraisal process</w:t>
            </w:r>
          </w:p>
        </w:tc>
        <w:tc>
          <w:tcPr>
            <w:tcW w:w="1796" w:type="dxa"/>
          </w:tcPr>
          <w:p w:rsidR="00C2075D" w:rsidRPr="0049529E" w:rsidRDefault="00C2075D" w:rsidP="00D810AF">
            <w:pPr>
              <w:spacing w:after="0" w:line="240" w:lineRule="auto"/>
              <w:rPr>
                <w:sz w:val="18"/>
                <w:szCs w:val="18"/>
              </w:rPr>
            </w:pPr>
            <w:r w:rsidRPr="0049529E">
              <w:rPr>
                <w:sz w:val="18"/>
                <w:szCs w:val="18"/>
              </w:rPr>
              <w:t>Research a</w:t>
            </w:r>
            <w:r>
              <w:rPr>
                <w:sz w:val="18"/>
                <w:szCs w:val="18"/>
              </w:rPr>
              <w:t>n</w:t>
            </w:r>
            <w:r w:rsidRPr="0049529E">
              <w:rPr>
                <w:sz w:val="18"/>
                <w:szCs w:val="18"/>
              </w:rPr>
              <w:t>d benchmarking carried out to inform the appraisal process</w:t>
            </w:r>
          </w:p>
        </w:tc>
      </w:tr>
    </w:tbl>
    <w:p w:rsidR="00C2075D" w:rsidRPr="00D5105E" w:rsidRDefault="00C2075D" w:rsidP="00C2075D">
      <w:pPr>
        <w:rPr>
          <w:b/>
          <w:sz w:val="24"/>
          <w:szCs w:val="24"/>
        </w:rPr>
      </w:pPr>
      <w:r w:rsidRPr="00D5105E">
        <w:rPr>
          <w:b/>
          <w:sz w:val="24"/>
          <w:szCs w:val="24"/>
        </w:rPr>
        <w:t xml:space="preserve">Table </w:t>
      </w:r>
      <w:r w:rsidR="00314EE9">
        <w:rPr>
          <w:b/>
          <w:sz w:val="24"/>
          <w:szCs w:val="24"/>
        </w:rPr>
        <w:t>6</w:t>
      </w:r>
      <w:r>
        <w:rPr>
          <w:b/>
          <w:sz w:val="24"/>
          <w:szCs w:val="24"/>
        </w:rPr>
        <w:t>:  Examples of thematically aligned aims, strategies</w:t>
      </w:r>
      <w:proofErr w:type="gramStart"/>
      <w:r>
        <w:rPr>
          <w:b/>
          <w:sz w:val="24"/>
          <w:szCs w:val="24"/>
        </w:rPr>
        <w:t>,  measures</w:t>
      </w:r>
      <w:proofErr w:type="gramEnd"/>
      <w:r>
        <w:rPr>
          <w:b/>
          <w:sz w:val="24"/>
          <w:szCs w:val="24"/>
        </w:rPr>
        <w:t>, objectives and achievement</w:t>
      </w:r>
    </w:p>
    <w:p w:rsidR="00C2075D" w:rsidRDefault="00C2075D" w:rsidP="00C2075D"/>
    <w:p w:rsidR="00242508" w:rsidRDefault="00242508" w:rsidP="00631850">
      <w:pPr>
        <w:autoSpaceDE w:val="0"/>
        <w:autoSpaceDN w:val="0"/>
        <w:adjustRightInd w:val="0"/>
        <w:ind w:firstLine="720"/>
        <w:rPr>
          <w:sz w:val="24"/>
          <w:szCs w:val="24"/>
        </w:rPr>
      </w:pPr>
      <w:r w:rsidRPr="00242508">
        <w:rPr>
          <w:rFonts w:asciiTheme="minorHAnsi" w:eastAsiaTheme="minorHAnsi" w:hAnsiTheme="minorHAnsi" w:cstheme="minorBidi"/>
          <w:sz w:val="24"/>
          <w:szCs w:val="24"/>
        </w:rPr>
        <w:t xml:space="preserve">Summary Information Returns </w:t>
      </w:r>
      <w:r w:rsidR="00631850">
        <w:rPr>
          <w:rFonts w:asciiTheme="minorHAnsi" w:eastAsiaTheme="minorHAnsi" w:hAnsiTheme="minorHAnsi" w:cstheme="minorBidi"/>
          <w:sz w:val="24"/>
          <w:szCs w:val="24"/>
        </w:rPr>
        <w:t xml:space="preserve">also </w:t>
      </w:r>
      <w:r w:rsidRPr="00242508">
        <w:rPr>
          <w:rFonts w:asciiTheme="minorHAnsi" w:eastAsiaTheme="minorHAnsi" w:hAnsiTheme="minorHAnsi" w:cstheme="minorBidi"/>
          <w:sz w:val="24"/>
          <w:szCs w:val="24"/>
        </w:rPr>
        <w:t>require charities to present their future plans.  Question 7 asks:</w:t>
      </w:r>
      <w:r w:rsidRPr="00242508">
        <w:rPr>
          <w:rFonts w:asciiTheme="minorHAnsi" w:eastAsiaTheme="minorHAnsi" w:hAnsiTheme="minorHAnsi" w:cs="Arial"/>
          <w:sz w:val="24"/>
          <w:szCs w:val="24"/>
        </w:rPr>
        <w:t xml:space="preserve"> How will the overall performance last year affect your charity's medium to long term strategy? What are your charity's main objectives for next year? B</w:t>
      </w:r>
      <w:r w:rsidRPr="00242508">
        <w:rPr>
          <w:rFonts w:asciiTheme="minorHAnsi" w:eastAsiaTheme="minorHAnsi" w:hAnsiTheme="minorHAnsi" w:cstheme="minorBidi"/>
          <w:sz w:val="24"/>
          <w:szCs w:val="24"/>
        </w:rPr>
        <w:t xml:space="preserve">y comparing the </w:t>
      </w:r>
      <w:r w:rsidRPr="00242508">
        <w:rPr>
          <w:rFonts w:asciiTheme="minorHAnsi" w:eastAsiaTheme="minorHAnsi" w:hAnsiTheme="minorHAnsi" w:cstheme="minorBidi"/>
          <w:sz w:val="24"/>
          <w:szCs w:val="24"/>
        </w:rPr>
        <w:lastRenderedPageBreak/>
        <w:t>objectives</w:t>
      </w:r>
      <w:r w:rsidR="00631850">
        <w:rPr>
          <w:rFonts w:asciiTheme="minorHAnsi" w:eastAsiaTheme="minorHAnsi" w:hAnsiTheme="minorHAnsi" w:cstheme="minorBidi"/>
          <w:sz w:val="24"/>
          <w:szCs w:val="24"/>
        </w:rPr>
        <w:t xml:space="preserve"> </w:t>
      </w:r>
      <w:r w:rsidRPr="00242508">
        <w:rPr>
          <w:rFonts w:asciiTheme="minorHAnsi" w:eastAsiaTheme="minorHAnsi" w:hAnsiTheme="minorHAnsi" w:cstheme="minorBidi"/>
          <w:sz w:val="24"/>
          <w:szCs w:val="24"/>
        </w:rPr>
        <w:t xml:space="preserve">declared in one year with </w:t>
      </w:r>
      <w:r w:rsidR="00631850">
        <w:rPr>
          <w:rFonts w:asciiTheme="minorHAnsi" w:eastAsiaTheme="minorHAnsi" w:hAnsiTheme="minorHAnsi" w:cstheme="minorBidi"/>
          <w:sz w:val="24"/>
          <w:szCs w:val="24"/>
        </w:rPr>
        <w:t>those</w:t>
      </w:r>
      <w:r w:rsidRPr="00242508">
        <w:rPr>
          <w:rFonts w:asciiTheme="minorHAnsi" w:eastAsiaTheme="minorHAnsi" w:hAnsiTheme="minorHAnsi" w:cstheme="minorBidi"/>
          <w:sz w:val="24"/>
          <w:szCs w:val="24"/>
        </w:rPr>
        <w:t xml:space="preserve"> reported in the </w:t>
      </w:r>
      <w:r w:rsidR="00631850">
        <w:rPr>
          <w:rFonts w:asciiTheme="minorHAnsi" w:eastAsiaTheme="minorHAnsi" w:hAnsiTheme="minorHAnsi" w:cstheme="minorBidi"/>
          <w:sz w:val="24"/>
          <w:szCs w:val="24"/>
        </w:rPr>
        <w:t>previous</w:t>
      </w:r>
      <w:r w:rsidRPr="00242508">
        <w:rPr>
          <w:rFonts w:asciiTheme="minorHAnsi" w:eastAsiaTheme="minorHAnsi" w:hAnsiTheme="minorHAnsi" w:cstheme="minorBidi"/>
          <w:sz w:val="24"/>
          <w:szCs w:val="24"/>
        </w:rPr>
        <w:t xml:space="preserve"> year</w:t>
      </w:r>
      <w:r w:rsidR="00631850">
        <w:rPr>
          <w:rFonts w:asciiTheme="minorHAnsi" w:eastAsiaTheme="minorHAnsi" w:hAnsiTheme="minorHAnsi" w:cstheme="minorBidi"/>
          <w:sz w:val="24"/>
          <w:szCs w:val="24"/>
        </w:rPr>
        <w:t xml:space="preserve"> in Question 7</w:t>
      </w:r>
      <w:r w:rsidRPr="00242508">
        <w:rPr>
          <w:rFonts w:asciiTheme="minorHAnsi" w:eastAsiaTheme="minorHAnsi" w:hAnsiTheme="minorHAnsi" w:cstheme="minorBidi"/>
          <w:sz w:val="24"/>
          <w:szCs w:val="24"/>
        </w:rPr>
        <w:t xml:space="preserve">, the </w:t>
      </w:r>
      <w:r w:rsidR="00631850">
        <w:rPr>
          <w:rFonts w:asciiTheme="minorHAnsi" w:eastAsiaTheme="minorHAnsi" w:hAnsiTheme="minorHAnsi" w:cstheme="minorBidi"/>
          <w:sz w:val="24"/>
          <w:szCs w:val="24"/>
        </w:rPr>
        <w:t xml:space="preserve">consistency of the </w:t>
      </w:r>
      <w:r w:rsidRPr="00242508">
        <w:rPr>
          <w:rFonts w:asciiTheme="minorHAnsi" w:eastAsiaTheme="minorHAnsi" w:hAnsiTheme="minorHAnsi" w:cstheme="minorBidi"/>
          <w:sz w:val="24"/>
          <w:szCs w:val="24"/>
        </w:rPr>
        <w:t xml:space="preserve">strategic </w:t>
      </w:r>
      <w:r w:rsidR="00631850">
        <w:rPr>
          <w:rFonts w:asciiTheme="minorHAnsi" w:eastAsiaTheme="minorHAnsi" w:hAnsiTheme="minorHAnsi" w:cstheme="minorBidi"/>
          <w:sz w:val="24"/>
          <w:szCs w:val="24"/>
        </w:rPr>
        <w:t>direction</w:t>
      </w:r>
      <w:r w:rsidRPr="00242508">
        <w:rPr>
          <w:rFonts w:asciiTheme="minorHAnsi" w:eastAsiaTheme="minorHAnsi" w:hAnsiTheme="minorHAnsi" w:cstheme="minorBidi"/>
          <w:sz w:val="24"/>
          <w:szCs w:val="24"/>
        </w:rPr>
        <w:t xml:space="preserve"> of the hospices can be analysed. </w:t>
      </w:r>
      <w:r w:rsidRPr="00242508">
        <w:rPr>
          <w:rFonts w:asciiTheme="minorHAnsi" w:eastAsiaTheme="minorHAnsi" w:hAnsiTheme="minorHAnsi" w:cs="Arial"/>
          <w:bCs/>
          <w:sz w:val="24"/>
          <w:szCs w:val="24"/>
        </w:rPr>
        <w:t>Question 4 asks charities to list both the objectives and achievements in a table format so performance can be easily assessed by the reader. However, these are not necessarily the same as those they reported in Question 7 in the previous year. Thus, t</w:t>
      </w:r>
      <w:r w:rsidRPr="00242508">
        <w:rPr>
          <w:rFonts w:asciiTheme="minorHAnsi" w:eastAsiaTheme="minorHAnsi" w:hAnsiTheme="minorHAnsi" w:cstheme="minorBidi"/>
          <w:sz w:val="24"/>
          <w:szCs w:val="24"/>
        </w:rPr>
        <w:t>he objectives declared in Question 4 of the 2013 Summary Information Returns were compared to the objectives set out in Question 7 of the 2012 Summary Information Returns for all 148 hospices.  While 68 (46 %) had an exact or very similar match of all objectives, a further 31</w:t>
      </w:r>
      <w:r>
        <w:rPr>
          <w:rFonts w:asciiTheme="minorHAnsi" w:eastAsiaTheme="minorHAnsi" w:hAnsiTheme="minorHAnsi" w:cstheme="minorBidi"/>
          <w:sz w:val="24"/>
          <w:szCs w:val="24"/>
        </w:rPr>
        <w:t xml:space="preserve"> </w:t>
      </w:r>
      <w:r w:rsidRPr="00242508">
        <w:rPr>
          <w:rFonts w:asciiTheme="minorHAnsi" w:eastAsiaTheme="minorHAnsi" w:hAnsiTheme="minorHAnsi" w:cstheme="minorBidi"/>
          <w:sz w:val="24"/>
          <w:szCs w:val="24"/>
        </w:rPr>
        <w:t>had at least one objective which matched exactly or was very similar. It is acknowledged that plans change (although this was never explained as such) so using the same or very similar wording for at least one objective suggests that the hospices are at least trying to report against their declared objectives. Overall</w:t>
      </w:r>
      <w:proofErr w:type="gramStart"/>
      <w:r w:rsidRPr="00242508">
        <w:rPr>
          <w:rFonts w:asciiTheme="minorHAnsi" w:eastAsiaTheme="minorHAnsi" w:hAnsiTheme="minorHAnsi" w:cstheme="minorBidi"/>
          <w:sz w:val="24"/>
          <w:szCs w:val="24"/>
        </w:rPr>
        <w:t xml:space="preserve">,  </w:t>
      </w:r>
      <w:r w:rsidR="00631850">
        <w:rPr>
          <w:rFonts w:asciiTheme="minorHAnsi" w:eastAsiaTheme="minorHAnsi" w:hAnsiTheme="minorHAnsi" w:cstheme="minorBidi"/>
          <w:sz w:val="24"/>
          <w:szCs w:val="24"/>
        </w:rPr>
        <w:t>two</w:t>
      </w:r>
      <w:proofErr w:type="gramEnd"/>
      <w:r w:rsidR="00631850">
        <w:rPr>
          <w:rFonts w:asciiTheme="minorHAnsi" w:eastAsiaTheme="minorHAnsi" w:hAnsiTheme="minorHAnsi" w:cstheme="minorBidi"/>
          <w:sz w:val="24"/>
          <w:szCs w:val="24"/>
        </w:rPr>
        <w:t xml:space="preserve"> thirds of hospices</w:t>
      </w:r>
      <w:r w:rsidRPr="00242508">
        <w:rPr>
          <w:rFonts w:asciiTheme="minorHAnsi" w:eastAsiaTheme="minorHAnsi" w:hAnsiTheme="minorHAnsi" w:cstheme="minorBidi"/>
          <w:sz w:val="24"/>
          <w:szCs w:val="24"/>
        </w:rPr>
        <w:t xml:space="preserve"> would appear to be doing so. </w:t>
      </w:r>
    </w:p>
    <w:p w:rsidR="00C2075D" w:rsidRDefault="00C2075D" w:rsidP="00C2075D">
      <w:pPr>
        <w:rPr>
          <w:rFonts w:cs="Calibri"/>
          <w:sz w:val="24"/>
          <w:szCs w:val="24"/>
        </w:rPr>
      </w:pPr>
      <w:r>
        <w:rPr>
          <w:sz w:val="24"/>
          <w:szCs w:val="24"/>
        </w:rPr>
        <w:tab/>
        <w:t>The SIR requires independent hospices to explain how they measure their strategies (Question 3a</w:t>
      </w:r>
      <w:proofErr w:type="gramStart"/>
      <w:r>
        <w:rPr>
          <w:sz w:val="24"/>
          <w:szCs w:val="24"/>
        </w:rPr>
        <w:t xml:space="preserve">)  </w:t>
      </w:r>
      <w:r w:rsidR="00631850">
        <w:rPr>
          <w:sz w:val="24"/>
          <w:szCs w:val="24"/>
        </w:rPr>
        <w:t>thus</w:t>
      </w:r>
      <w:proofErr w:type="gramEnd"/>
      <w:r w:rsidR="00631850">
        <w:rPr>
          <w:sz w:val="24"/>
          <w:szCs w:val="24"/>
        </w:rPr>
        <w:t xml:space="preserve"> providing insight to what they consider to be meaningful methods of performance measurement and management. </w:t>
      </w:r>
      <w:r>
        <w:rPr>
          <w:sz w:val="24"/>
          <w:szCs w:val="24"/>
        </w:rPr>
        <w:t xml:space="preserve">One explicitly acknowledges the difficulties they face: Thames explains that they are ‘trying to define what success looks like.’  Very few use the terminology of the logic model: there are just 4 references to effectiveness and 8 to outcomes. Some cite performance measurement: 28 refer to performance indicators including 5 which indicate that they have a balanced scorecard. 42 describe some kind of activity (or ‘output’ but none use this term) such as numbers of families, episodes of care, number of bed nights. Only 9 consider their </w:t>
      </w:r>
      <w:r w:rsidR="00515AA0">
        <w:rPr>
          <w:sz w:val="24"/>
          <w:szCs w:val="24"/>
        </w:rPr>
        <w:t>Annual R</w:t>
      </w:r>
      <w:r>
        <w:rPr>
          <w:sz w:val="24"/>
          <w:szCs w:val="24"/>
        </w:rPr>
        <w:t xml:space="preserve">eport or </w:t>
      </w:r>
      <w:r w:rsidR="00515AA0">
        <w:rPr>
          <w:sz w:val="24"/>
          <w:szCs w:val="24"/>
        </w:rPr>
        <w:t>A</w:t>
      </w:r>
      <w:r>
        <w:rPr>
          <w:sz w:val="24"/>
          <w:szCs w:val="24"/>
        </w:rPr>
        <w:t xml:space="preserve">nnual </w:t>
      </w:r>
      <w:r w:rsidR="00515AA0">
        <w:rPr>
          <w:sz w:val="24"/>
          <w:szCs w:val="24"/>
        </w:rPr>
        <w:t>R</w:t>
      </w:r>
      <w:r>
        <w:rPr>
          <w:sz w:val="24"/>
          <w:szCs w:val="24"/>
        </w:rPr>
        <w:t>eview as a method of demonstrating their success, in line with the conclusions drawn by Hyndman and Connolly over the last two decades</w:t>
      </w:r>
      <w:r w:rsidR="00F76B5C">
        <w:rPr>
          <w:sz w:val="24"/>
          <w:szCs w:val="24"/>
        </w:rPr>
        <w:t xml:space="preserve"> </w:t>
      </w:r>
      <w:r>
        <w:rPr>
          <w:sz w:val="24"/>
          <w:szCs w:val="24"/>
        </w:rPr>
        <w:t>(Connolly et al</w:t>
      </w:r>
      <w:proofErr w:type="gramStart"/>
      <w:r>
        <w:rPr>
          <w:sz w:val="24"/>
          <w:szCs w:val="24"/>
        </w:rPr>
        <w:t>,2013</w:t>
      </w:r>
      <w:r w:rsidR="00F76B5C">
        <w:rPr>
          <w:sz w:val="24"/>
          <w:szCs w:val="24"/>
        </w:rPr>
        <w:t>b</w:t>
      </w:r>
      <w:proofErr w:type="gramEnd"/>
      <w:r>
        <w:rPr>
          <w:sz w:val="24"/>
          <w:szCs w:val="24"/>
        </w:rPr>
        <w:t xml:space="preserve">.)  </w:t>
      </w:r>
      <w:r w:rsidR="009264B0">
        <w:rPr>
          <w:rFonts w:cs="Calibri"/>
          <w:sz w:val="24"/>
          <w:szCs w:val="24"/>
        </w:rPr>
        <w:t>The most conspicuous method of assessing their performance is through the eyes of their stakeholders. Patient, carer and family feedback is the most often cited mechanism to measure how successful they have been (in Question 3a). Other feedback is important too from staff and volunteers.</w:t>
      </w:r>
      <w:r w:rsidR="009264B0" w:rsidRPr="009264B0">
        <w:rPr>
          <w:rFonts w:cs="Calibri"/>
          <w:sz w:val="24"/>
          <w:szCs w:val="24"/>
        </w:rPr>
        <w:t xml:space="preserve"> </w:t>
      </w:r>
    </w:p>
    <w:p w:rsidR="00003CE1" w:rsidRDefault="00003CE1" w:rsidP="00C2075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7"/>
        <w:gridCol w:w="2471"/>
        <w:gridCol w:w="2338"/>
      </w:tblGrid>
      <w:tr w:rsidR="00C2075D" w:rsidRPr="0049529E" w:rsidTr="00D810AF">
        <w:tc>
          <w:tcPr>
            <w:tcW w:w="1817" w:type="dxa"/>
          </w:tcPr>
          <w:p w:rsidR="00C2075D" w:rsidRPr="0049529E" w:rsidRDefault="00C2075D" w:rsidP="00D810AF">
            <w:pPr>
              <w:spacing w:after="0" w:line="240" w:lineRule="auto"/>
              <w:rPr>
                <w:b/>
                <w:sz w:val="24"/>
                <w:szCs w:val="24"/>
              </w:rPr>
            </w:pPr>
            <w:r w:rsidRPr="0049529E">
              <w:rPr>
                <w:b/>
                <w:sz w:val="24"/>
                <w:szCs w:val="24"/>
              </w:rPr>
              <w:t>Question 3b themes</w:t>
            </w:r>
          </w:p>
        </w:tc>
        <w:tc>
          <w:tcPr>
            <w:tcW w:w="2471" w:type="dxa"/>
          </w:tcPr>
          <w:p w:rsidR="00C2075D" w:rsidRPr="0049529E" w:rsidRDefault="00C2075D" w:rsidP="00D810AF">
            <w:pPr>
              <w:spacing w:after="0" w:line="240" w:lineRule="auto"/>
              <w:rPr>
                <w:b/>
                <w:sz w:val="24"/>
                <w:szCs w:val="24"/>
              </w:rPr>
            </w:pPr>
          </w:p>
        </w:tc>
        <w:tc>
          <w:tcPr>
            <w:tcW w:w="2338" w:type="dxa"/>
          </w:tcPr>
          <w:p w:rsidR="00C2075D" w:rsidRPr="0049529E" w:rsidRDefault="00C2075D" w:rsidP="00D810AF">
            <w:pPr>
              <w:spacing w:after="0" w:line="240" w:lineRule="auto"/>
              <w:rPr>
                <w:b/>
                <w:sz w:val="24"/>
                <w:szCs w:val="24"/>
              </w:rPr>
            </w:pPr>
            <w:r w:rsidRPr="0049529E">
              <w:rPr>
                <w:b/>
                <w:sz w:val="24"/>
                <w:szCs w:val="24"/>
              </w:rPr>
              <w:t>Number of references</w:t>
            </w:r>
          </w:p>
        </w:tc>
      </w:tr>
      <w:tr w:rsidR="00C2075D" w:rsidRPr="0049529E" w:rsidTr="00D810AF">
        <w:tc>
          <w:tcPr>
            <w:tcW w:w="1817" w:type="dxa"/>
          </w:tcPr>
          <w:p w:rsidR="00C2075D" w:rsidRPr="0049529E" w:rsidRDefault="00C2075D" w:rsidP="00D810AF">
            <w:pPr>
              <w:spacing w:after="0" w:line="240" w:lineRule="auto"/>
              <w:rPr>
                <w:sz w:val="24"/>
                <w:szCs w:val="24"/>
              </w:rPr>
            </w:pPr>
            <w:r w:rsidRPr="0049529E">
              <w:rPr>
                <w:sz w:val="24"/>
                <w:szCs w:val="24"/>
              </w:rPr>
              <w:t>Performance measurement</w:t>
            </w:r>
          </w:p>
        </w:tc>
        <w:tc>
          <w:tcPr>
            <w:tcW w:w="2471" w:type="dxa"/>
          </w:tcPr>
          <w:p w:rsidR="00C2075D" w:rsidRPr="0049529E" w:rsidRDefault="00C2075D" w:rsidP="00D810AF">
            <w:pPr>
              <w:spacing w:after="0" w:line="240" w:lineRule="auto"/>
              <w:rPr>
                <w:sz w:val="24"/>
                <w:szCs w:val="24"/>
              </w:rPr>
            </w:pPr>
            <w:r w:rsidRPr="0049529E">
              <w:rPr>
                <w:sz w:val="24"/>
                <w:szCs w:val="24"/>
              </w:rPr>
              <w:t>KPIs/BSC</w:t>
            </w:r>
          </w:p>
        </w:tc>
        <w:tc>
          <w:tcPr>
            <w:tcW w:w="2338" w:type="dxa"/>
          </w:tcPr>
          <w:p w:rsidR="00C2075D" w:rsidRPr="0049529E" w:rsidRDefault="00C2075D" w:rsidP="00D810AF">
            <w:pPr>
              <w:spacing w:after="0" w:line="240" w:lineRule="auto"/>
              <w:rPr>
                <w:sz w:val="24"/>
                <w:szCs w:val="24"/>
              </w:rPr>
            </w:pPr>
            <w:r w:rsidRPr="0049529E">
              <w:rPr>
                <w:sz w:val="24"/>
                <w:szCs w:val="24"/>
              </w:rPr>
              <w:t>28</w:t>
            </w:r>
          </w:p>
        </w:tc>
      </w:tr>
      <w:tr w:rsidR="00C2075D" w:rsidRPr="0049529E" w:rsidTr="00D810AF">
        <w:tc>
          <w:tcPr>
            <w:tcW w:w="1817" w:type="dxa"/>
          </w:tcPr>
          <w:p w:rsidR="00C2075D" w:rsidRPr="0049529E" w:rsidRDefault="00C2075D" w:rsidP="00D810AF">
            <w:pPr>
              <w:spacing w:after="0" w:line="240" w:lineRule="auto"/>
              <w:rPr>
                <w:sz w:val="24"/>
                <w:szCs w:val="24"/>
              </w:rPr>
            </w:pPr>
          </w:p>
        </w:tc>
        <w:tc>
          <w:tcPr>
            <w:tcW w:w="2471" w:type="dxa"/>
          </w:tcPr>
          <w:p w:rsidR="00C2075D" w:rsidRPr="0049529E" w:rsidRDefault="00C2075D" w:rsidP="00D810AF">
            <w:pPr>
              <w:spacing w:after="0" w:line="240" w:lineRule="auto"/>
              <w:rPr>
                <w:sz w:val="24"/>
                <w:szCs w:val="24"/>
              </w:rPr>
            </w:pPr>
            <w:r w:rsidRPr="0049529E">
              <w:rPr>
                <w:sz w:val="24"/>
                <w:szCs w:val="24"/>
              </w:rPr>
              <w:t>Finance</w:t>
            </w:r>
          </w:p>
        </w:tc>
        <w:tc>
          <w:tcPr>
            <w:tcW w:w="2338" w:type="dxa"/>
          </w:tcPr>
          <w:p w:rsidR="00C2075D" w:rsidRPr="0049529E" w:rsidRDefault="00C2075D" w:rsidP="00D810AF">
            <w:pPr>
              <w:spacing w:after="0" w:line="240" w:lineRule="auto"/>
              <w:rPr>
                <w:sz w:val="24"/>
                <w:szCs w:val="24"/>
              </w:rPr>
            </w:pPr>
            <w:r w:rsidRPr="0049529E">
              <w:rPr>
                <w:sz w:val="24"/>
                <w:szCs w:val="24"/>
              </w:rPr>
              <w:t>49</w:t>
            </w:r>
          </w:p>
        </w:tc>
      </w:tr>
      <w:tr w:rsidR="00C2075D" w:rsidRPr="0049529E" w:rsidTr="00D810AF">
        <w:tc>
          <w:tcPr>
            <w:tcW w:w="1817" w:type="dxa"/>
          </w:tcPr>
          <w:p w:rsidR="00C2075D" w:rsidRPr="0049529E" w:rsidRDefault="00C2075D" w:rsidP="00D810AF">
            <w:pPr>
              <w:spacing w:after="0" w:line="240" w:lineRule="auto"/>
              <w:rPr>
                <w:sz w:val="24"/>
                <w:szCs w:val="24"/>
              </w:rPr>
            </w:pPr>
          </w:p>
        </w:tc>
        <w:tc>
          <w:tcPr>
            <w:tcW w:w="2471" w:type="dxa"/>
          </w:tcPr>
          <w:p w:rsidR="00C2075D" w:rsidRPr="0049529E" w:rsidRDefault="00C2075D" w:rsidP="00D810AF">
            <w:pPr>
              <w:spacing w:after="0" w:line="240" w:lineRule="auto"/>
              <w:rPr>
                <w:sz w:val="24"/>
                <w:szCs w:val="24"/>
              </w:rPr>
            </w:pPr>
            <w:r w:rsidRPr="0049529E">
              <w:rPr>
                <w:sz w:val="24"/>
                <w:szCs w:val="24"/>
              </w:rPr>
              <w:t>Activities</w:t>
            </w:r>
            <w:r w:rsidRPr="0049529E" w:rsidDel="005171E5">
              <w:rPr>
                <w:sz w:val="24"/>
                <w:szCs w:val="24"/>
              </w:rPr>
              <w:t xml:space="preserve"> </w:t>
            </w:r>
          </w:p>
        </w:tc>
        <w:tc>
          <w:tcPr>
            <w:tcW w:w="2338" w:type="dxa"/>
          </w:tcPr>
          <w:p w:rsidR="00C2075D" w:rsidRPr="0049529E" w:rsidRDefault="00C2075D" w:rsidP="00D810AF">
            <w:pPr>
              <w:spacing w:after="0" w:line="240" w:lineRule="auto"/>
              <w:rPr>
                <w:sz w:val="24"/>
                <w:szCs w:val="24"/>
              </w:rPr>
            </w:pPr>
            <w:r w:rsidRPr="0049529E">
              <w:rPr>
                <w:sz w:val="24"/>
                <w:szCs w:val="24"/>
              </w:rPr>
              <w:t>42</w:t>
            </w:r>
          </w:p>
        </w:tc>
      </w:tr>
      <w:tr w:rsidR="00C2075D" w:rsidRPr="0049529E" w:rsidTr="00D810AF">
        <w:tc>
          <w:tcPr>
            <w:tcW w:w="1817" w:type="dxa"/>
          </w:tcPr>
          <w:p w:rsidR="00C2075D" w:rsidRPr="0049529E" w:rsidRDefault="00C2075D" w:rsidP="00D810AF">
            <w:pPr>
              <w:spacing w:after="0" w:line="240" w:lineRule="auto"/>
              <w:rPr>
                <w:sz w:val="24"/>
                <w:szCs w:val="24"/>
              </w:rPr>
            </w:pPr>
            <w:r w:rsidRPr="0049529E">
              <w:rPr>
                <w:sz w:val="24"/>
                <w:szCs w:val="24"/>
              </w:rPr>
              <w:t>Performance management</w:t>
            </w:r>
          </w:p>
        </w:tc>
        <w:tc>
          <w:tcPr>
            <w:tcW w:w="2471" w:type="dxa"/>
          </w:tcPr>
          <w:p w:rsidR="00C2075D" w:rsidRPr="0049529E" w:rsidRDefault="00C2075D" w:rsidP="00D810AF">
            <w:pPr>
              <w:spacing w:after="0" w:line="240" w:lineRule="auto"/>
              <w:rPr>
                <w:sz w:val="24"/>
                <w:szCs w:val="24"/>
              </w:rPr>
            </w:pPr>
            <w:r w:rsidRPr="0049529E">
              <w:rPr>
                <w:sz w:val="24"/>
                <w:szCs w:val="24"/>
              </w:rPr>
              <w:t>Governance arrangements</w:t>
            </w:r>
          </w:p>
        </w:tc>
        <w:tc>
          <w:tcPr>
            <w:tcW w:w="2338" w:type="dxa"/>
          </w:tcPr>
          <w:p w:rsidR="00C2075D" w:rsidRPr="0049529E" w:rsidRDefault="00C2075D" w:rsidP="00D810AF">
            <w:pPr>
              <w:spacing w:after="0" w:line="240" w:lineRule="auto"/>
              <w:rPr>
                <w:sz w:val="24"/>
                <w:szCs w:val="24"/>
              </w:rPr>
            </w:pPr>
            <w:r w:rsidRPr="0049529E">
              <w:rPr>
                <w:sz w:val="24"/>
                <w:szCs w:val="24"/>
              </w:rPr>
              <w:t>74</w:t>
            </w:r>
          </w:p>
        </w:tc>
      </w:tr>
      <w:tr w:rsidR="00C2075D" w:rsidRPr="0049529E" w:rsidTr="00D810AF">
        <w:tc>
          <w:tcPr>
            <w:tcW w:w="1817" w:type="dxa"/>
          </w:tcPr>
          <w:p w:rsidR="00C2075D" w:rsidRPr="0049529E" w:rsidRDefault="00C2075D" w:rsidP="00D810AF">
            <w:pPr>
              <w:spacing w:after="0" w:line="240" w:lineRule="auto"/>
              <w:rPr>
                <w:sz w:val="24"/>
                <w:szCs w:val="24"/>
              </w:rPr>
            </w:pPr>
          </w:p>
        </w:tc>
        <w:tc>
          <w:tcPr>
            <w:tcW w:w="2471" w:type="dxa"/>
          </w:tcPr>
          <w:p w:rsidR="00C2075D" w:rsidRPr="0049529E" w:rsidRDefault="00C2075D" w:rsidP="00D810AF">
            <w:pPr>
              <w:spacing w:after="0" w:line="240" w:lineRule="auto"/>
              <w:rPr>
                <w:sz w:val="24"/>
                <w:szCs w:val="24"/>
              </w:rPr>
            </w:pPr>
            <w:r w:rsidRPr="0049529E">
              <w:rPr>
                <w:sz w:val="24"/>
                <w:szCs w:val="24"/>
              </w:rPr>
              <w:t>Internal plans</w:t>
            </w:r>
          </w:p>
        </w:tc>
        <w:tc>
          <w:tcPr>
            <w:tcW w:w="2338" w:type="dxa"/>
          </w:tcPr>
          <w:p w:rsidR="00C2075D" w:rsidRPr="0049529E" w:rsidRDefault="00C2075D" w:rsidP="00D810AF">
            <w:pPr>
              <w:spacing w:after="0" w:line="240" w:lineRule="auto"/>
              <w:rPr>
                <w:sz w:val="24"/>
                <w:szCs w:val="24"/>
              </w:rPr>
            </w:pPr>
            <w:r w:rsidRPr="0049529E">
              <w:rPr>
                <w:sz w:val="24"/>
                <w:szCs w:val="24"/>
              </w:rPr>
              <w:t>57</w:t>
            </w:r>
          </w:p>
        </w:tc>
      </w:tr>
      <w:tr w:rsidR="00C2075D" w:rsidRPr="0049529E" w:rsidTr="00D810AF">
        <w:tc>
          <w:tcPr>
            <w:tcW w:w="1817" w:type="dxa"/>
          </w:tcPr>
          <w:p w:rsidR="00C2075D" w:rsidRPr="0049529E" w:rsidRDefault="00C2075D" w:rsidP="00D810AF">
            <w:pPr>
              <w:spacing w:after="0" w:line="240" w:lineRule="auto"/>
              <w:rPr>
                <w:sz w:val="24"/>
                <w:szCs w:val="24"/>
              </w:rPr>
            </w:pPr>
          </w:p>
        </w:tc>
        <w:tc>
          <w:tcPr>
            <w:tcW w:w="2471" w:type="dxa"/>
          </w:tcPr>
          <w:p w:rsidR="00C2075D" w:rsidRPr="0049529E" w:rsidRDefault="00C2075D" w:rsidP="00D810AF">
            <w:pPr>
              <w:spacing w:after="0" w:line="240" w:lineRule="auto"/>
              <w:rPr>
                <w:sz w:val="24"/>
                <w:szCs w:val="24"/>
              </w:rPr>
            </w:pPr>
            <w:r w:rsidRPr="0049529E">
              <w:rPr>
                <w:sz w:val="24"/>
                <w:szCs w:val="24"/>
              </w:rPr>
              <w:t>Internal Quality</w:t>
            </w:r>
          </w:p>
        </w:tc>
        <w:tc>
          <w:tcPr>
            <w:tcW w:w="2338" w:type="dxa"/>
          </w:tcPr>
          <w:p w:rsidR="00C2075D" w:rsidRPr="0049529E" w:rsidRDefault="00C2075D" w:rsidP="00D810AF">
            <w:pPr>
              <w:spacing w:after="0" w:line="240" w:lineRule="auto"/>
              <w:rPr>
                <w:sz w:val="24"/>
                <w:szCs w:val="24"/>
              </w:rPr>
            </w:pPr>
            <w:r w:rsidRPr="0049529E">
              <w:rPr>
                <w:sz w:val="24"/>
                <w:szCs w:val="24"/>
              </w:rPr>
              <w:t>34</w:t>
            </w:r>
          </w:p>
        </w:tc>
      </w:tr>
      <w:tr w:rsidR="00C2075D" w:rsidRPr="0049529E" w:rsidTr="00D810AF">
        <w:tc>
          <w:tcPr>
            <w:tcW w:w="1817" w:type="dxa"/>
          </w:tcPr>
          <w:p w:rsidR="00C2075D" w:rsidRPr="0049529E" w:rsidRDefault="00C2075D" w:rsidP="00D810AF">
            <w:pPr>
              <w:spacing w:after="0" w:line="240" w:lineRule="auto"/>
              <w:rPr>
                <w:sz w:val="24"/>
                <w:szCs w:val="24"/>
              </w:rPr>
            </w:pPr>
          </w:p>
        </w:tc>
        <w:tc>
          <w:tcPr>
            <w:tcW w:w="2471" w:type="dxa"/>
          </w:tcPr>
          <w:p w:rsidR="00C2075D" w:rsidRPr="0049529E" w:rsidRDefault="00C2075D" w:rsidP="00D810AF">
            <w:pPr>
              <w:spacing w:after="0" w:line="240" w:lineRule="auto"/>
              <w:rPr>
                <w:sz w:val="24"/>
                <w:szCs w:val="24"/>
              </w:rPr>
            </w:pPr>
            <w:r w:rsidRPr="0049529E">
              <w:rPr>
                <w:sz w:val="24"/>
                <w:szCs w:val="24"/>
              </w:rPr>
              <w:t>External standards</w:t>
            </w:r>
          </w:p>
        </w:tc>
        <w:tc>
          <w:tcPr>
            <w:tcW w:w="2338" w:type="dxa"/>
          </w:tcPr>
          <w:p w:rsidR="00C2075D" w:rsidRPr="0049529E" w:rsidRDefault="00C2075D" w:rsidP="00D810AF">
            <w:pPr>
              <w:spacing w:after="0" w:line="240" w:lineRule="auto"/>
              <w:rPr>
                <w:sz w:val="24"/>
                <w:szCs w:val="24"/>
              </w:rPr>
            </w:pPr>
            <w:r w:rsidRPr="0049529E">
              <w:rPr>
                <w:sz w:val="24"/>
                <w:szCs w:val="24"/>
              </w:rPr>
              <w:t>25</w:t>
            </w:r>
          </w:p>
        </w:tc>
      </w:tr>
      <w:tr w:rsidR="00C2075D" w:rsidRPr="0049529E" w:rsidTr="00D810AF">
        <w:tc>
          <w:tcPr>
            <w:tcW w:w="1817" w:type="dxa"/>
          </w:tcPr>
          <w:p w:rsidR="00C2075D" w:rsidRPr="0049529E" w:rsidRDefault="00C2075D" w:rsidP="00D810AF">
            <w:pPr>
              <w:spacing w:after="0" w:line="240" w:lineRule="auto"/>
              <w:rPr>
                <w:sz w:val="24"/>
                <w:szCs w:val="24"/>
              </w:rPr>
            </w:pPr>
            <w:r w:rsidRPr="0049529E">
              <w:rPr>
                <w:sz w:val="24"/>
                <w:szCs w:val="24"/>
              </w:rPr>
              <w:t>Relational</w:t>
            </w:r>
          </w:p>
        </w:tc>
        <w:tc>
          <w:tcPr>
            <w:tcW w:w="2471" w:type="dxa"/>
          </w:tcPr>
          <w:p w:rsidR="00C2075D" w:rsidRPr="0049529E" w:rsidRDefault="00C2075D" w:rsidP="00D810AF">
            <w:pPr>
              <w:spacing w:after="0" w:line="240" w:lineRule="auto"/>
              <w:rPr>
                <w:sz w:val="24"/>
                <w:szCs w:val="24"/>
              </w:rPr>
            </w:pPr>
            <w:r w:rsidRPr="0049529E">
              <w:rPr>
                <w:sz w:val="24"/>
                <w:szCs w:val="24"/>
              </w:rPr>
              <w:t>User feedback</w:t>
            </w:r>
          </w:p>
        </w:tc>
        <w:tc>
          <w:tcPr>
            <w:tcW w:w="2338" w:type="dxa"/>
          </w:tcPr>
          <w:p w:rsidR="00C2075D" w:rsidRPr="0049529E" w:rsidRDefault="00C2075D" w:rsidP="00D810AF">
            <w:pPr>
              <w:spacing w:after="0" w:line="240" w:lineRule="auto"/>
              <w:rPr>
                <w:sz w:val="24"/>
                <w:szCs w:val="24"/>
              </w:rPr>
            </w:pPr>
            <w:r w:rsidRPr="0049529E">
              <w:rPr>
                <w:sz w:val="24"/>
                <w:szCs w:val="24"/>
              </w:rPr>
              <w:t>74</w:t>
            </w:r>
          </w:p>
        </w:tc>
      </w:tr>
      <w:tr w:rsidR="00C2075D" w:rsidRPr="0049529E" w:rsidTr="00D810AF">
        <w:tc>
          <w:tcPr>
            <w:tcW w:w="1817" w:type="dxa"/>
          </w:tcPr>
          <w:p w:rsidR="00C2075D" w:rsidRPr="0049529E" w:rsidRDefault="00C2075D" w:rsidP="00D810AF">
            <w:pPr>
              <w:spacing w:after="0" w:line="240" w:lineRule="auto"/>
              <w:rPr>
                <w:sz w:val="24"/>
                <w:szCs w:val="24"/>
              </w:rPr>
            </w:pPr>
          </w:p>
        </w:tc>
        <w:tc>
          <w:tcPr>
            <w:tcW w:w="2471" w:type="dxa"/>
          </w:tcPr>
          <w:p w:rsidR="00C2075D" w:rsidRPr="0049529E" w:rsidRDefault="00C2075D" w:rsidP="00D810AF">
            <w:pPr>
              <w:spacing w:after="0" w:line="240" w:lineRule="auto"/>
              <w:rPr>
                <w:sz w:val="24"/>
                <w:szCs w:val="24"/>
              </w:rPr>
            </w:pPr>
            <w:r w:rsidRPr="0049529E">
              <w:rPr>
                <w:sz w:val="24"/>
                <w:szCs w:val="24"/>
              </w:rPr>
              <w:t>Partnership</w:t>
            </w:r>
          </w:p>
        </w:tc>
        <w:tc>
          <w:tcPr>
            <w:tcW w:w="2338" w:type="dxa"/>
          </w:tcPr>
          <w:p w:rsidR="00C2075D" w:rsidRPr="0049529E" w:rsidRDefault="00C2075D" w:rsidP="00D810AF">
            <w:pPr>
              <w:spacing w:after="0" w:line="240" w:lineRule="auto"/>
              <w:rPr>
                <w:sz w:val="24"/>
                <w:szCs w:val="24"/>
              </w:rPr>
            </w:pPr>
            <w:r w:rsidRPr="0049529E">
              <w:rPr>
                <w:sz w:val="24"/>
                <w:szCs w:val="24"/>
              </w:rPr>
              <w:t>47</w:t>
            </w:r>
          </w:p>
        </w:tc>
      </w:tr>
    </w:tbl>
    <w:p w:rsidR="00C2075D" w:rsidRPr="00D5105E" w:rsidRDefault="00C2075D" w:rsidP="00C2075D">
      <w:pPr>
        <w:rPr>
          <w:b/>
          <w:sz w:val="24"/>
          <w:szCs w:val="24"/>
        </w:rPr>
      </w:pPr>
      <w:r w:rsidRPr="00D5105E">
        <w:rPr>
          <w:b/>
          <w:sz w:val="24"/>
          <w:szCs w:val="24"/>
        </w:rPr>
        <w:lastRenderedPageBreak/>
        <w:t xml:space="preserve">Table </w:t>
      </w:r>
      <w:r w:rsidR="00515AA0">
        <w:rPr>
          <w:b/>
          <w:sz w:val="24"/>
          <w:szCs w:val="24"/>
        </w:rPr>
        <w:t>7</w:t>
      </w:r>
      <w:r w:rsidRPr="00D5105E">
        <w:rPr>
          <w:b/>
          <w:sz w:val="24"/>
          <w:szCs w:val="24"/>
        </w:rPr>
        <w:t xml:space="preserve">: Numbers of references to themes in SIR question 3: how do hospices measure their </w:t>
      </w:r>
      <w:proofErr w:type="gramStart"/>
      <w:r w:rsidRPr="00D5105E">
        <w:rPr>
          <w:b/>
          <w:sz w:val="24"/>
          <w:szCs w:val="24"/>
        </w:rPr>
        <w:t>strategy</w:t>
      </w:r>
      <w:proofErr w:type="gramEnd"/>
    </w:p>
    <w:p w:rsidR="00683ADF" w:rsidRDefault="00C2075D" w:rsidP="00F75BD6">
      <w:pPr>
        <w:rPr>
          <w:rFonts w:asciiTheme="minorHAnsi" w:eastAsiaTheme="minorHAnsi" w:hAnsiTheme="minorHAnsi" w:cstheme="minorBidi"/>
          <w:b/>
          <w:sz w:val="28"/>
          <w:szCs w:val="28"/>
        </w:rPr>
      </w:pPr>
      <w:r>
        <w:rPr>
          <w:sz w:val="24"/>
          <w:szCs w:val="24"/>
        </w:rPr>
        <w:t xml:space="preserve"> </w:t>
      </w:r>
      <w:r>
        <w:rPr>
          <w:sz w:val="24"/>
          <w:szCs w:val="24"/>
        </w:rPr>
        <w:tab/>
      </w:r>
      <w:r w:rsidR="008A52B5">
        <w:rPr>
          <w:sz w:val="24"/>
          <w:szCs w:val="24"/>
        </w:rPr>
        <w:t>M</w:t>
      </w:r>
      <w:r>
        <w:rPr>
          <w:sz w:val="24"/>
          <w:szCs w:val="24"/>
        </w:rPr>
        <w:t>any more refer to performance management processes rather than performance measurement as a means of demonstrating achievement against their strategic aims.  Around half  see governance structures, particularly the Board of Trustees, as the mechanism by which strategies are measured, with 57 referring to internal planning processes and 34 to internal quality (clinical) assessments. A third explicitly refer to financial processes, such as managing budgets, providing management accounts to ensure long term financial stability and maintenance of sufficient reserves. Others use comparisons to externals standards, citing external regulations, positive inspection reports, or recognition by outside bodies such as awards for clinical innovation (Douglas Macmillan) or innovation in volunteering (</w:t>
      </w:r>
      <w:proofErr w:type="spellStart"/>
      <w:r>
        <w:rPr>
          <w:sz w:val="24"/>
          <w:szCs w:val="24"/>
        </w:rPr>
        <w:t>Demelza</w:t>
      </w:r>
      <w:proofErr w:type="spellEnd"/>
      <w:r>
        <w:rPr>
          <w:sz w:val="24"/>
          <w:szCs w:val="24"/>
        </w:rPr>
        <w:t>)</w:t>
      </w:r>
      <w:r>
        <w:rPr>
          <w:rFonts w:cs="Calibri"/>
          <w:sz w:val="24"/>
          <w:szCs w:val="24"/>
        </w:rPr>
        <w:t xml:space="preserve"> and the community. </w:t>
      </w:r>
    </w:p>
    <w:p w:rsidR="000471FE" w:rsidRDefault="00AF71C2" w:rsidP="000471FE">
      <w:pPr>
        <w:ind w:firstLine="720"/>
        <w:rPr>
          <w:rFonts w:asciiTheme="minorHAnsi" w:eastAsiaTheme="minorHAnsi" w:hAnsiTheme="minorHAnsi" w:cstheme="minorBidi"/>
          <w:sz w:val="24"/>
          <w:szCs w:val="24"/>
        </w:rPr>
      </w:pPr>
      <w:r>
        <w:rPr>
          <w:rFonts w:asciiTheme="minorHAnsi" w:eastAsiaTheme="minorHAnsi" w:hAnsiTheme="minorHAnsi" w:cstheme="minorBidi"/>
          <w:sz w:val="24"/>
          <w:szCs w:val="24"/>
        </w:rPr>
        <w:t>A</w:t>
      </w:r>
      <w:r w:rsidR="000471FE">
        <w:rPr>
          <w:rFonts w:asciiTheme="minorHAnsi" w:eastAsiaTheme="minorHAnsi" w:hAnsiTheme="minorHAnsi" w:cstheme="minorBidi"/>
          <w:sz w:val="24"/>
          <w:szCs w:val="24"/>
        </w:rPr>
        <w:t xml:space="preserve">nalysis was undertaken to compare the conclusions of Connolly and Hyndman to those of independent hospices. </w:t>
      </w:r>
      <w:r w:rsidR="000471FE" w:rsidRPr="002510B0">
        <w:rPr>
          <w:rFonts w:asciiTheme="minorHAnsi" w:eastAsiaTheme="minorHAnsi" w:hAnsiTheme="minorHAnsi" w:cstheme="minorBidi"/>
          <w:sz w:val="24"/>
          <w:szCs w:val="24"/>
        </w:rPr>
        <w:t>The Trustees</w:t>
      </w:r>
      <w:r w:rsidR="000471FE">
        <w:rPr>
          <w:rFonts w:asciiTheme="minorHAnsi" w:eastAsiaTheme="minorHAnsi" w:hAnsiTheme="minorHAnsi" w:cstheme="minorBidi"/>
          <w:sz w:val="24"/>
          <w:szCs w:val="24"/>
        </w:rPr>
        <w:t>’</w:t>
      </w:r>
      <w:r w:rsidR="000471FE" w:rsidRPr="002510B0">
        <w:rPr>
          <w:rFonts w:asciiTheme="minorHAnsi" w:eastAsiaTheme="minorHAnsi" w:hAnsiTheme="minorHAnsi" w:cstheme="minorBidi"/>
          <w:sz w:val="24"/>
          <w:szCs w:val="24"/>
        </w:rPr>
        <w:t xml:space="preserve"> Annual Reports </w:t>
      </w:r>
      <w:r w:rsidR="000471FE">
        <w:rPr>
          <w:rFonts w:asciiTheme="minorHAnsi" w:eastAsiaTheme="minorHAnsi" w:hAnsiTheme="minorHAnsi" w:cstheme="minorBidi"/>
          <w:sz w:val="24"/>
          <w:szCs w:val="24"/>
        </w:rPr>
        <w:t xml:space="preserve">(TARs) </w:t>
      </w:r>
      <w:r w:rsidR="000471FE" w:rsidRPr="002510B0">
        <w:rPr>
          <w:rFonts w:asciiTheme="minorHAnsi" w:eastAsiaTheme="minorHAnsi" w:hAnsiTheme="minorHAnsi" w:cstheme="minorBidi"/>
          <w:sz w:val="24"/>
          <w:szCs w:val="24"/>
        </w:rPr>
        <w:t xml:space="preserve">for 148 hospices in England and Wales were analysed by using </w:t>
      </w:r>
      <w:r w:rsidR="000471FE">
        <w:rPr>
          <w:rFonts w:asciiTheme="minorHAnsi" w:eastAsiaTheme="minorHAnsi" w:hAnsiTheme="minorHAnsi" w:cstheme="minorBidi"/>
          <w:sz w:val="24"/>
          <w:szCs w:val="24"/>
        </w:rPr>
        <w:t xml:space="preserve">all </w:t>
      </w:r>
      <w:r w:rsidR="000471FE" w:rsidRPr="002510B0">
        <w:rPr>
          <w:rFonts w:asciiTheme="minorHAnsi" w:eastAsiaTheme="minorHAnsi" w:hAnsiTheme="minorHAnsi" w:cstheme="minorBidi"/>
          <w:sz w:val="24"/>
          <w:szCs w:val="24"/>
        </w:rPr>
        <w:t xml:space="preserve">the </w:t>
      </w:r>
      <w:r w:rsidR="000471FE">
        <w:rPr>
          <w:rFonts w:asciiTheme="minorHAnsi" w:eastAsiaTheme="minorHAnsi" w:hAnsiTheme="minorHAnsi" w:cstheme="minorBidi"/>
          <w:sz w:val="24"/>
          <w:szCs w:val="24"/>
        </w:rPr>
        <w:t xml:space="preserve">fourteen </w:t>
      </w:r>
      <w:r w:rsidR="000471FE" w:rsidRPr="002510B0">
        <w:rPr>
          <w:rFonts w:asciiTheme="minorHAnsi" w:eastAsiaTheme="minorHAnsi" w:hAnsiTheme="minorHAnsi" w:cstheme="minorBidi"/>
          <w:sz w:val="24"/>
          <w:szCs w:val="24"/>
        </w:rPr>
        <w:t>criteria originally drawn up by Hyndman in 1990</w:t>
      </w:r>
      <w:r w:rsidR="000471FE">
        <w:rPr>
          <w:rFonts w:asciiTheme="minorHAnsi" w:eastAsiaTheme="minorHAnsi" w:hAnsiTheme="minorHAnsi" w:cstheme="minorBidi"/>
          <w:sz w:val="24"/>
          <w:szCs w:val="24"/>
        </w:rPr>
        <w:t xml:space="preserve">. </w:t>
      </w:r>
      <w:r w:rsidR="000471FE" w:rsidRPr="002510B0">
        <w:rPr>
          <w:rFonts w:asciiTheme="minorHAnsi" w:eastAsiaTheme="minorHAnsi" w:hAnsiTheme="minorHAnsi" w:cstheme="minorBidi"/>
          <w:sz w:val="24"/>
          <w:szCs w:val="24"/>
        </w:rPr>
        <w:t xml:space="preserve">Some fundamental issues that were at stake in 1990 are no longer pertinent, in the case of hospices.  All the hospices reviewed had shown clear legal structures, officers, full sets of financial statements (with most including cash flows.) Goals (aims) were clearly stated and future plans were only missing in a small number of </w:t>
      </w:r>
      <w:proofErr w:type="gramStart"/>
      <w:r w:rsidR="000471FE" w:rsidRPr="002510B0">
        <w:rPr>
          <w:rFonts w:asciiTheme="minorHAnsi" w:eastAsiaTheme="minorHAnsi" w:hAnsiTheme="minorHAnsi" w:cstheme="minorBidi"/>
          <w:sz w:val="24"/>
          <w:szCs w:val="24"/>
        </w:rPr>
        <w:t>cases  (</w:t>
      </w:r>
      <w:proofErr w:type="gramEnd"/>
      <w:r w:rsidR="000471FE" w:rsidRPr="002510B0">
        <w:rPr>
          <w:rFonts w:asciiTheme="minorHAnsi" w:eastAsiaTheme="minorHAnsi" w:hAnsiTheme="minorHAnsi" w:cstheme="minorBidi"/>
          <w:sz w:val="24"/>
          <w:szCs w:val="24"/>
        </w:rPr>
        <w:t>11/148.)</w:t>
      </w:r>
      <w:r w:rsidR="000471FE">
        <w:rPr>
          <w:rFonts w:asciiTheme="minorHAnsi" w:eastAsiaTheme="minorHAnsi" w:hAnsiTheme="minorHAnsi" w:cstheme="minorBidi"/>
          <w:sz w:val="24"/>
          <w:szCs w:val="24"/>
        </w:rPr>
        <w:t xml:space="preserve"> </w:t>
      </w:r>
      <w:r w:rsidR="000471FE" w:rsidRPr="002510B0">
        <w:rPr>
          <w:rFonts w:asciiTheme="minorHAnsi" w:eastAsiaTheme="minorHAnsi" w:hAnsiTheme="minorHAnsi" w:cstheme="minorBidi"/>
          <w:sz w:val="24"/>
          <w:szCs w:val="24"/>
        </w:rPr>
        <w:t xml:space="preserve">Targets were </w:t>
      </w:r>
      <w:r w:rsidR="000471FE">
        <w:rPr>
          <w:rFonts w:asciiTheme="minorHAnsi" w:eastAsiaTheme="minorHAnsi" w:hAnsiTheme="minorHAnsi" w:cstheme="minorBidi"/>
          <w:sz w:val="24"/>
          <w:szCs w:val="24"/>
        </w:rPr>
        <w:t>only</w:t>
      </w:r>
      <w:r w:rsidR="000471FE" w:rsidRPr="002510B0">
        <w:rPr>
          <w:rFonts w:asciiTheme="minorHAnsi" w:eastAsiaTheme="minorHAnsi" w:hAnsiTheme="minorHAnsi" w:cstheme="minorBidi"/>
          <w:sz w:val="24"/>
          <w:szCs w:val="24"/>
        </w:rPr>
        <w:t xml:space="preserve"> provided </w:t>
      </w:r>
      <w:r w:rsidR="000471FE">
        <w:rPr>
          <w:rFonts w:asciiTheme="minorHAnsi" w:eastAsiaTheme="minorHAnsi" w:hAnsiTheme="minorHAnsi" w:cstheme="minorBidi"/>
          <w:sz w:val="24"/>
          <w:szCs w:val="24"/>
        </w:rPr>
        <w:t xml:space="preserve">in three cases </w:t>
      </w:r>
      <w:r w:rsidR="000471FE" w:rsidRPr="002510B0">
        <w:rPr>
          <w:rFonts w:asciiTheme="minorHAnsi" w:eastAsiaTheme="minorHAnsi" w:hAnsiTheme="minorHAnsi" w:cstheme="minorBidi"/>
          <w:sz w:val="24"/>
          <w:szCs w:val="24"/>
        </w:rPr>
        <w:t>with a few references to budget processes rather than detailed reporti</w:t>
      </w:r>
      <w:r w:rsidR="000471FE">
        <w:rPr>
          <w:rFonts w:asciiTheme="minorHAnsi" w:eastAsiaTheme="minorHAnsi" w:hAnsiTheme="minorHAnsi" w:cstheme="minorBidi"/>
          <w:sz w:val="24"/>
          <w:szCs w:val="24"/>
        </w:rPr>
        <w:t>ng against budgeted information, consistent with Connolly and Hyndman’s findings (</w:t>
      </w:r>
      <w:r w:rsidR="000471FE">
        <w:rPr>
          <w:sz w:val="24"/>
          <w:szCs w:val="24"/>
        </w:rPr>
        <w:t>Connolly and Hyndman, 2013a.)</w:t>
      </w:r>
      <w:r w:rsidR="000471FE" w:rsidRPr="002510B0">
        <w:rPr>
          <w:rFonts w:asciiTheme="minorHAnsi" w:eastAsiaTheme="minorHAnsi" w:hAnsiTheme="minorHAnsi" w:cstheme="minorBidi"/>
          <w:sz w:val="24"/>
          <w:szCs w:val="24"/>
        </w:rPr>
        <w:t xml:space="preserve"> The vast majority reported on their provision of public benefit; an encouraging picture when compared to Morgan</w:t>
      </w:r>
      <w:r w:rsidR="000471FE">
        <w:rPr>
          <w:rFonts w:asciiTheme="minorHAnsi" w:eastAsiaTheme="minorHAnsi" w:hAnsiTheme="minorHAnsi" w:cstheme="minorBidi"/>
          <w:sz w:val="24"/>
          <w:szCs w:val="24"/>
        </w:rPr>
        <w:t xml:space="preserve"> and Fletcher</w:t>
      </w:r>
      <w:r w:rsidR="000471FE" w:rsidRPr="002510B0">
        <w:rPr>
          <w:rFonts w:asciiTheme="minorHAnsi" w:eastAsiaTheme="minorHAnsi" w:hAnsiTheme="minorHAnsi" w:cstheme="minorBidi"/>
          <w:sz w:val="24"/>
          <w:szCs w:val="24"/>
        </w:rPr>
        <w:t>’s findings of</w:t>
      </w:r>
      <w:r w:rsidR="000471FE">
        <w:rPr>
          <w:rFonts w:asciiTheme="minorHAnsi" w:eastAsiaTheme="minorHAnsi" w:hAnsiTheme="minorHAnsi" w:cstheme="minorBidi"/>
          <w:sz w:val="24"/>
          <w:szCs w:val="24"/>
        </w:rPr>
        <w:t xml:space="preserve"> 2011.</w:t>
      </w:r>
      <w:r w:rsidR="000471FE" w:rsidRPr="002510B0">
        <w:rPr>
          <w:rFonts w:asciiTheme="minorHAnsi" w:eastAsiaTheme="minorHAnsi" w:hAnsiTheme="minorHAnsi" w:cstheme="minorBidi"/>
          <w:sz w:val="24"/>
          <w:szCs w:val="24"/>
        </w:rPr>
        <w:t xml:space="preserve"> </w:t>
      </w:r>
      <w:r w:rsidR="000471FE">
        <w:rPr>
          <w:rFonts w:asciiTheme="minorHAnsi" w:eastAsiaTheme="minorHAnsi" w:hAnsiTheme="minorHAnsi" w:cstheme="minorBidi"/>
          <w:sz w:val="24"/>
          <w:szCs w:val="24"/>
        </w:rPr>
        <w:t xml:space="preserve">More importantly, there were </w:t>
      </w:r>
      <w:r w:rsidR="000471FE" w:rsidRPr="002510B0">
        <w:rPr>
          <w:rFonts w:asciiTheme="minorHAnsi" w:eastAsiaTheme="minorHAnsi" w:hAnsiTheme="minorHAnsi" w:cstheme="minorBidi"/>
          <w:sz w:val="24"/>
          <w:szCs w:val="24"/>
        </w:rPr>
        <w:t>very few inclusions of efficiency measures</w:t>
      </w:r>
      <w:r w:rsidR="000471FE">
        <w:rPr>
          <w:rFonts w:asciiTheme="minorHAnsi" w:eastAsiaTheme="minorHAnsi" w:hAnsiTheme="minorHAnsi" w:cstheme="minorBidi"/>
          <w:sz w:val="24"/>
          <w:szCs w:val="24"/>
        </w:rPr>
        <w:t>. While none were defined exactly in the terms of the logic model, there were efficiency measures such as length of stay (34 examples), occupancy % (33 examples), prompt responses to requests for help (4 examples) and staff turnover (2 examples.) However, the vast majority of measures concerned outputs, such as patients (70), attendances (49), visits (39), admissions (38) and referrals (37).  Numbers of volunteers were reported in 53 cases, with a further 23 giving the numbers of hours and 33 the value attributed to the work carried out by them, usually valued at the minimum wage. There were</w:t>
      </w:r>
      <w:r w:rsidR="000471FE" w:rsidRPr="002510B0">
        <w:rPr>
          <w:rFonts w:asciiTheme="minorHAnsi" w:eastAsiaTheme="minorHAnsi" w:hAnsiTheme="minorHAnsi" w:cstheme="minorBidi"/>
          <w:sz w:val="24"/>
          <w:szCs w:val="24"/>
        </w:rPr>
        <w:t xml:space="preserve"> few outcomes measures</w:t>
      </w:r>
      <w:r w:rsidR="000471FE">
        <w:rPr>
          <w:rFonts w:asciiTheme="minorHAnsi" w:eastAsiaTheme="minorHAnsi" w:hAnsiTheme="minorHAnsi" w:cstheme="minorBidi"/>
          <w:sz w:val="24"/>
          <w:szCs w:val="24"/>
        </w:rPr>
        <w:t xml:space="preserve"> with 27 commenting on the place of care/death and 15 on assisting with non-cancer patients.</w:t>
      </w:r>
      <w:r w:rsidR="000471FE" w:rsidRPr="002510B0">
        <w:rPr>
          <w:rFonts w:asciiTheme="minorHAnsi" w:eastAsiaTheme="minorHAnsi" w:hAnsiTheme="minorHAnsi" w:cstheme="minorBidi"/>
          <w:sz w:val="24"/>
          <w:szCs w:val="24"/>
        </w:rPr>
        <w:t xml:space="preserve"> </w:t>
      </w:r>
      <w:r w:rsidR="000471FE">
        <w:rPr>
          <w:rFonts w:asciiTheme="minorHAnsi" w:eastAsiaTheme="minorHAnsi" w:hAnsiTheme="minorHAnsi" w:cstheme="minorBidi"/>
          <w:sz w:val="24"/>
          <w:szCs w:val="24"/>
        </w:rPr>
        <w:t xml:space="preserve">Hospice TARs therefore support the conclusions drawn by </w:t>
      </w:r>
      <w:r w:rsidR="000471FE">
        <w:rPr>
          <w:sz w:val="24"/>
          <w:szCs w:val="24"/>
        </w:rPr>
        <w:t>Connolly and Hyndman’s (2013a) most recent research reporting that 85% of TARs had some kind of activity measure.</w:t>
      </w:r>
    </w:p>
    <w:p w:rsidR="0006067D" w:rsidRDefault="0006067D" w:rsidP="0006067D">
      <w:pPr>
        <w:contextualSpacing/>
        <w:rPr>
          <w:rFonts w:asciiTheme="minorHAnsi" w:eastAsiaTheme="minorHAnsi" w:hAnsiTheme="minorHAnsi" w:cstheme="minorBidi"/>
          <w:b/>
          <w:sz w:val="28"/>
          <w:szCs w:val="28"/>
        </w:rPr>
      </w:pPr>
    </w:p>
    <w:p w:rsidR="00D810AF" w:rsidRDefault="00D810AF" w:rsidP="00D810AF">
      <w:pPr>
        <w:rPr>
          <w:b/>
          <w:sz w:val="28"/>
          <w:szCs w:val="28"/>
        </w:rPr>
      </w:pPr>
      <w:r>
        <w:rPr>
          <w:b/>
          <w:sz w:val="28"/>
          <w:szCs w:val="28"/>
        </w:rPr>
        <w:t>Comparison of Tr</w:t>
      </w:r>
      <w:r w:rsidRPr="00CC77B9">
        <w:rPr>
          <w:b/>
          <w:sz w:val="28"/>
          <w:szCs w:val="28"/>
        </w:rPr>
        <w:t>ustee</w:t>
      </w:r>
      <w:r w:rsidR="000471FE">
        <w:rPr>
          <w:b/>
          <w:sz w:val="28"/>
          <w:szCs w:val="28"/>
        </w:rPr>
        <w:t>s’</w:t>
      </w:r>
      <w:r w:rsidRPr="00CC77B9">
        <w:rPr>
          <w:b/>
          <w:sz w:val="28"/>
          <w:szCs w:val="28"/>
        </w:rPr>
        <w:t xml:space="preserve"> Annual Rep</w:t>
      </w:r>
      <w:r>
        <w:rPr>
          <w:b/>
          <w:sz w:val="28"/>
          <w:szCs w:val="28"/>
        </w:rPr>
        <w:t>o</w:t>
      </w:r>
      <w:r w:rsidRPr="00CC77B9">
        <w:rPr>
          <w:b/>
          <w:sz w:val="28"/>
          <w:szCs w:val="28"/>
        </w:rPr>
        <w:t>rt</w:t>
      </w:r>
      <w:r>
        <w:rPr>
          <w:b/>
          <w:sz w:val="28"/>
          <w:szCs w:val="28"/>
        </w:rPr>
        <w:t>s</w:t>
      </w:r>
      <w:r w:rsidRPr="00CC77B9">
        <w:rPr>
          <w:b/>
          <w:sz w:val="28"/>
          <w:szCs w:val="28"/>
        </w:rPr>
        <w:t xml:space="preserve"> to Sum</w:t>
      </w:r>
      <w:r>
        <w:rPr>
          <w:b/>
          <w:sz w:val="28"/>
          <w:szCs w:val="28"/>
        </w:rPr>
        <w:t>m</w:t>
      </w:r>
      <w:r w:rsidRPr="00CC77B9">
        <w:rPr>
          <w:b/>
          <w:sz w:val="28"/>
          <w:szCs w:val="28"/>
        </w:rPr>
        <w:t>ar</w:t>
      </w:r>
      <w:r>
        <w:rPr>
          <w:b/>
          <w:sz w:val="28"/>
          <w:szCs w:val="28"/>
        </w:rPr>
        <w:t>y</w:t>
      </w:r>
      <w:r w:rsidRPr="00CC77B9">
        <w:rPr>
          <w:b/>
          <w:sz w:val="28"/>
          <w:szCs w:val="28"/>
        </w:rPr>
        <w:t xml:space="preserve"> Info</w:t>
      </w:r>
      <w:r>
        <w:rPr>
          <w:b/>
          <w:sz w:val="28"/>
          <w:szCs w:val="28"/>
        </w:rPr>
        <w:t>r</w:t>
      </w:r>
      <w:r w:rsidRPr="00CC77B9">
        <w:rPr>
          <w:b/>
          <w:sz w:val="28"/>
          <w:szCs w:val="28"/>
        </w:rPr>
        <w:t>mation Re</w:t>
      </w:r>
      <w:r>
        <w:rPr>
          <w:b/>
          <w:sz w:val="28"/>
          <w:szCs w:val="28"/>
        </w:rPr>
        <w:t>t</w:t>
      </w:r>
      <w:r w:rsidRPr="00CC77B9">
        <w:rPr>
          <w:b/>
          <w:sz w:val="28"/>
          <w:szCs w:val="28"/>
        </w:rPr>
        <w:t>urns</w:t>
      </w:r>
    </w:p>
    <w:p w:rsidR="00D810AF" w:rsidRDefault="00784268" w:rsidP="00F75BD6">
      <w:pPr>
        <w:ind w:firstLine="720"/>
        <w:rPr>
          <w:rFonts w:asciiTheme="minorHAnsi" w:eastAsiaTheme="minorHAnsi" w:hAnsiTheme="minorHAnsi" w:cstheme="minorBidi"/>
          <w:sz w:val="24"/>
          <w:szCs w:val="24"/>
        </w:rPr>
      </w:pPr>
      <w:r>
        <w:rPr>
          <w:sz w:val="24"/>
          <w:szCs w:val="24"/>
        </w:rPr>
        <w:lastRenderedPageBreak/>
        <w:t xml:space="preserve">Lord Hodgson </w:t>
      </w:r>
      <w:r w:rsidR="00BE0697">
        <w:rPr>
          <w:sz w:val="24"/>
          <w:szCs w:val="24"/>
        </w:rPr>
        <w:t xml:space="preserve">(2012) </w:t>
      </w:r>
      <w:r>
        <w:rPr>
          <w:sz w:val="24"/>
          <w:szCs w:val="24"/>
        </w:rPr>
        <w:t>has criticised SIR</w:t>
      </w:r>
      <w:r w:rsidR="00BE0697">
        <w:rPr>
          <w:sz w:val="24"/>
          <w:szCs w:val="24"/>
        </w:rPr>
        <w:t>s</w:t>
      </w:r>
      <w:r>
        <w:rPr>
          <w:sz w:val="24"/>
          <w:szCs w:val="24"/>
        </w:rPr>
        <w:t xml:space="preserve"> </w:t>
      </w:r>
      <w:r w:rsidR="00BE0697">
        <w:rPr>
          <w:sz w:val="24"/>
          <w:szCs w:val="24"/>
        </w:rPr>
        <w:t>for</w:t>
      </w:r>
      <w:r>
        <w:rPr>
          <w:sz w:val="24"/>
          <w:szCs w:val="24"/>
        </w:rPr>
        <w:t xml:space="preserve"> duplicating informat</w:t>
      </w:r>
      <w:r w:rsidR="00515AA0">
        <w:rPr>
          <w:sz w:val="24"/>
          <w:szCs w:val="24"/>
        </w:rPr>
        <w:t xml:space="preserve">ion provided in the TARs and a </w:t>
      </w:r>
      <w:r>
        <w:rPr>
          <w:sz w:val="24"/>
          <w:szCs w:val="24"/>
        </w:rPr>
        <w:t xml:space="preserve">comparison of </w:t>
      </w:r>
      <w:r w:rsidRPr="00CC77B9">
        <w:rPr>
          <w:sz w:val="24"/>
          <w:szCs w:val="24"/>
        </w:rPr>
        <w:t>information</w:t>
      </w:r>
      <w:r>
        <w:rPr>
          <w:sz w:val="24"/>
          <w:szCs w:val="24"/>
        </w:rPr>
        <w:t xml:space="preserve"> </w:t>
      </w:r>
      <w:r w:rsidRPr="00CC77B9">
        <w:rPr>
          <w:sz w:val="24"/>
          <w:szCs w:val="24"/>
        </w:rPr>
        <w:t>p</w:t>
      </w:r>
      <w:r>
        <w:rPr>
          <w:sz w:val="24"/>
          <w:szCs w:val="24"/>
        </w:rPr>
        <w:t>r</w:t>
      </w:r>
      <w:r w:rsidRPr="00CC77B9">
        <w:rPr>
          <w:sz w:val="24"/>
          <w:szCs w:val="24"/>
        </w:rPr>
        <w:t>ovided in the hospice</w:t>
      </w:r>
      <w:r>
        <w:rPr>
          <w:sz w:val="24"/>
          <w:szCs w:val="24"/>
        </w:rPr>
        <w:t xml:space="preserve"> SIRs and TARs would support his conclusions to a certain extent. </w:t>
      </w:r>
      <w:r w:rsidR="00D810AF">
        <w:rPr>
          <w:sz w:val="24"/>
          <w:szCs w:val="24"/>
        </w:rPr>
        <w:t>Analysis was carried out into how aims, strategies/future plans, objectives for the following year and achievements were reported in both sets of documents</w:t>
      </w:r>
      <w:r>
        <w:rPr>
          <w:sz w:val="24"/>
          <w:szCs w:val="24"/>
        </w:rPr>
        <w:t xml:space="preserve"> for 2013</w:t>
      </w:r>
      <w:r w:rsidR="00D810AF">
        <w:rPr>
          <w:sz w:val="24"/>
          <w:szCs w:val="24"/>
        </w:rPr>
        <w:t>.</w:t>
      </w:r>
      <w:r w:rsidR="00D810AF" w:rsidRPr="00D810AF">
        <w:rPr>
          <w:rFonts w:asciiTheme="minorHAnsi" w:eastAsiaTheme="minorHAnsi" w:hAnsiTheme="minorHAnsi" w:cstheme="minorBidi"/>
        </w:rPr>
        <w:t xml:space="preserve"> </w:t>
      </w:r>
      <w:r w:rsidR="00D810AF" w:rsidRPr="00F75BD6">
        <w:rPr>
          <w:rFonts w:asciiTheme="minorHAnsi" w:eastAsiaTheme="minorHAnsi" w:hAnsiTheme="minorHAnsi" w:cstheme="minorBidi"/>
          <w:sz w:val="24"/>
          <w:szCs w:val="24"/>
        </w:rPr>
        <w:t xml:space="preserve">The aims stated in SIR and TAR aims </w:t>
      </w:r>
      <w:r w:rsidR="00683ADF">
        <w:rPr>
          <w:rFonts w:asciiTheme="minorHAnsi" w:eastAsiaTheme="minorHAnsi" w:hAnsiTheme="minorHAnsi" w:cstheme="minorBidi"/>
          <w:sz w:val="24"/>
          <w:szCs w:val="24"/>
        </w:rPr>
        <w:t>were</w:t>
      </w:r>
      <w:r w:rsidR="00683ADF" w:rsidRPr="00F75BD6">
        <w:rPr>
          <w:rFonts w:asciiTheme="minorHAnsi" w:eastAsiaTheme="minorHAnsi" w:hAnsiTheme="minorHAnsi" w:cstheme="minorBidi"/>
          <w:sz w:val="24"/>
          <w:szCs w:val="24"/>
        </w:rPr>
        <w:t xml:space="preserve"> </w:t>
      </w:r>
      <w:r w:rsidR="00D810AF" w:rsidRPr="00F75BD6">
        <w:rPr>
          <w:rFonts w:asciiTheme="minorHAnsi" w:eastAsiaTheme="minorHAnsi" w:hAnsiTheme="minorHAnsi" w:cstheme="minorBidi"/>
          <w:sz w:val="24"/>
          <w:szCs w:val="24"/>
        </w:rPr>
        <w:t>usually very similar (66%</w:t>
      </w:r>
      <w:proofErr w:type="gramStart"/>
      <w:r w:rsidR="00D810AF" w:rsidRPr="00F75BD6">
        <w:rPr>
          <w:rFonts w:asciiTheme="minorHAnsi" w:eastAsiaTheme="minorHAnsi" w:hAnsiTheme="minorHAnsi" w:cstheme="minorBidi"/>
          <w:sz w:val="24"/>
          <w:szCs w:val="24"/>
        </w:rPr>
        <w:t>)  although</w:t>
      </w:r>
      <w:proofErr w:type="gramEnd"/>
      <w:r w:rsidR="00D810AF" w:rsidRPr="00F75BD6">
        <w:rPr>
          <w:rFonts w:asciiTheme="minorHAnsi" w:eastAsiaTheme="minorHAnsi" w:hAnsiTheme="minorHAnsi" w:cstheme="minorBidi"/>
          <w:sz w:val="24"/>
          <w:szCs w:val="24"/>
        </w:rPr>
        <w:t xml:space="preserve"> a significant number of TARs expand</w:t>
      </w:r>
      <w:r w:rsidR="00683ADF">
        <w:rPr>
          <w:rFonts w:asciiTheme="minorHAnsi" w:eastAsiaTheme="minorHAnsi" w:hAnsiTheme="minorHAnsi" w:cstheme="minorBidi"/>
          <w:sz w:val="24"/>
          <w:szCs w:val="24"/>
        </w:rPr>
        <w:t>ed</w:t>
      </w:r>
      <w:r w:rsidR="00D810AF" w:rsidRPr="00F75BD6">
        <w:rPr>
          <w:rFonts w:asciiTheme="minorHAnsi" w:eastAsiaTheme="minorHAnsi" w:hAnsiTheme="minorHAnsi" w:cstheme="minorBidi"/>
          <w:sz w:val="24"/>
          <w:szCs w:val="24"/>
        </w:rPr>
        <w:t xml:space="preserve"> on it with mission, philosophy, values. </w:t>
      </w:r>
      <w:r w:rsidR="007739CE" w:rsidRPr="00F75BD6">
        <w:rPr>
          <w:rFonts w:asciiTheme="minorHAnsi" w:eastAsiaTheme="minorHAnsi" w:hAnsiTheme="minorHAnsi" w:cstheme="minorBidi"/>
          <w:sz w:val="24"/>
          <w:szCs w:val="24"/>
        </w:rPr>
        <w:t xml:space="preserve"> </w:t>
      </w:r>
      <w:r w:rsidR="003309A0">
        <w:rPr>
          <w:rFonts w:asciiTheme="minorHAnsi" w:eastAsiaTheme="minorHAnsi" w:hAnsiTheme="minorHAnsi" w:cstheme="minorBidi"/>
          <w:sz w:val="24"/>
          <w:szCs w:val="24"/>
        </w:rPr>
        <w:t xml:space="preserve">A </w:t>
      </w:r>
      <w:r w:rsidR="00D810AF" w:rsidRPr="00F75BD6">
        <w:rPr>
          <w:rFonts w:asciiTheme="minorHAnsi" w:eastAsiaTheme="minorHAnsi" w:hAnsiTheme="minorHAnsi" w:cstheme="minorBidi"/>
          <w:sz w:val="24"/>
          <w:szCs w:val="24"/>
        </w:rPr>
        <w:t>proportion</w:t>
      </w:r>
      <w:r w:rsidR="008A7628" w:rsidRPr="00F75BD6">
        <w:rPr>
          <w:rFonts w:asciiTheme="minorHAnsi" w:eastAsiaTheme="minorHAnsi" w:hAnsiTheme="minorHAnsi" w:cstheme="minorBidi"/>
          <w:sz w:val="24"/>
          <w:szCs w:val="24"/>
        </w:rPr>
        <w:t xml:space="preserve"> of TARs </w:t>
      </w:r>
      <w:r w:rsidR="00D810AF" w:rsidRPr="00F75BD6">
        <w:rPr>
          <w:rFonts w:asciiTheme="minorHAnsi" w:eastAsiaTheme="minorHAnsi" w:hAnsiTheme="minorHAnsi" w:cstheme="minorBidi"/>
          <w:sz w:val="24"/>
          <w:szCs w:val="24"/>
        </w:rPr>
        <w:t>(41%) ha</w:t>
      </w:r>
      <w:r w:rsidR="00683ADF">
        <w:rPr>
          <w:rFonts w:asciiTheme="minorHAnsi" w:eastAsiaTheme="minorHAnsi" w:hAnsiTheme="minorHAnsi" w:cstheme="minorBidi"/>
          <w:sz w:val="24"/>
          <w:szCs w:val="24"/>
        </w:rPr>
        <w:t>d</w:t>
      </w:r>
      <w:r w:rsidR="00D810AF" w:rsidRPr="00F75BD6">
        <w:rPr>
          <w:rFonts w:asciiTheme="minorHAnsi" w:eastAsiaTheme="minorHAnsi" w:hAnsiTheme="minorHAnsi" w:cstheme="minorBidi"/>
          <w:sz w:val="24"/>
          <w:szCs w:val="24"/>
        </w:rPr>
        <w:t xml:space="preserve"> more details of future plans and strategies than in the SIRs.  However, it is surprising that there </w:t>
      </w:r>
      <w:r w:rsidR="00683ADF">
        <w:rPr>
          <w:rFonts w:asciiTheme="minorHAnsi" w:eastAsiaTheme="minorHAnsi" w:hAnsiTheme="minorHAnsi" w:cstheme="minorBidi"/>
          <w:sz w:val="24"/>
          <w:szCs w:val="24"/>
        </w:rPr>
        <w:t>were</w:t>
      </w:r>
      <w:r w:rsidR="00D810AF" w:rsidRPr="00F75BD6">
        <w:rPr>
          <w:rFonts w:asciiTheme="minorHAnsi" w:eastAsiaTheme="minorHAnsi" w:hAnsiTheme="minorHAnsi" w:cstheme="minorBidi"/>
          <w:sz w:val="24"/>
          <w:szCs w:val="24"/>
        </w:rPr>
        <w:t xml:space="preserve"> many cases where quite different information </w:t>
      </w:r>
      <w:r w:rsidR="00683ADF">
        <w:rPr>
          <w:rFonts w:asciiTheme="minorHAnsi" w:eastAsiaTheme="minorHAnsi" w:hAnsiTheme="minorHAnsi" w:cstheme="minorBidi"/>
          <w:sz w:val="24"/>
          <w:szCs w:val="24"/>
        </w:rPr>
        <w:t>wa</w:t>
      </w:r>
      <w:r w:rsidR="00D810AF" w:rsidRPr="00F75BD6">
        <w:rPr>
          <w:rFonts w:asciiTheme="minorHAnsi" w:eastAsiaTheme="minorHAnsi" w:hAnsiTheme="minorHAnsi" w:cstheme="minorBidi"/>
          <w:sz w:val="24"/>
          <w:szCs w:val="24"/>
        </w:rPr>
        <w:t>s reported in SIR and TAR</w:t>
      </w:r>
      <w:r w:rsidR="003309A0">
        <w:rPr>
          <w:rFonts w:asciiTheme="minorHAnsi" w:eastAsiaTheme="minorHAnsi" w:hAnsiTheme="minorHAnsi" w:cstheme="minorBidi"/>
          <w:sz w:val="24"/>
          <w:szCs w:val="24"/>
        </w:rPr>
        <w:t>:</w:t>
      </w:r>
      <w:r w:rsidR="00D810AF" w:rsidRPr="00F75BD6">
        <w:rPr>
          <w:rFonts w:asciiTheme="minorHAnsi" w:eastAsiaTheme="minorHAnsi" w:hAnsiTheme="minorHAnsi" w:cstheme="minorBidi"/>
          <w:sz w:val="24"/>
          <w:szCs w:val="24"/>
        </w:rPr>
        <w:t xml:space="preserve">  13% ha</w:t>
      </w:r>
      <w:r w:rsidR="00683ADF">
        <w:rPr>
          <w:rFonts w:asciiTheme="minorHAnsi" w:eastAsiaTheme="minorHAnsi" w:hAnsiTheme="minorHAnsi" w:cstheme="minorBidi"/>
          <w:sz w:val="24"/>
          <w:szCs w:val="24"/>
        </w:rPr>
        <w:t>d</w:t>
      </w:r>
      <w:r w:rsidR="00D810AF" w:rsidRPr="00F75BD6">
        <w:rPr>
          <w:rFonts w:asciiTheme="minorHAnsi" w:eastAsiaTheme="minorHAnsi" w:hAnsiTheme="minorHAnsi" w:cstheme="minorBidi"/>
          <w:sz w:val="24"/>
          <w:szCs w:val="24"/>
        </w:rPr>
        <w:t xml:space="preserve"> different information and only 19% ha</w:t>
      </w:r>
      <w:r w:rsidR="00683ADF">
        <w:rPr>
          <w:rFonts w:asciiTheme="minorHAnsi" w:eastAsiaTheme="minorHAnsi" w:hAnsiTheme="minorHAnsi" w:cstheme="minorBidi"/>
          <w:sz w:val="24"/>
          <w:szCs w:val="24"/>
        </w:rPr>
        <w:t>d</w:t>
      </w:r>
      <w:r w:rsidR="00D810AF" w:rsidRPr="00F75BD6">
        <w:rPr>
          <w:rFonts w:asciiTheme="minorHAnsi" w:eastAsiaTheme="minorHAnsi" w:hAnsiTheme="minorHAnsi" w:cstheme="minorBidi"/>
          <w:sz w:val="24"/>
          <w:szCs w:val="24"/>
        </w:rPr>
        <w:t xml:space="preserve"> similar SIRs/TARs.   </w:t>
      </w:r>
      <w:r w:rsidR="00625D62" w:rsidRPr="00F75BD6">
        <w:rPr>
          <w:rFonts w:asciiTheme="minorHAnsi" w:eastAsiaTheme="minorHAnsi" w:hAnsiTheme="minorHAnsi" w:cstheme="minorBidi"/>
          <w:sz w:val="24"/>
          <w:szCs w:val="24"/>
        </w:rPr>
        <w:t xml:space="preserve">The majority (56%) of hospices </w:t>
      </w:r>
      <w:r w:rsidR="00683ADF">
        <w:rPr>
          <w:rFonts w:asciiTheme="minorHAnsi" w:eastAsiaTheme="minorHAnsi" w:hAnsiTheme="minorHAnsi" w:cstheme="minorBidi"/>
          <w:sz w:val="24"/>
          <w:szCs w:val="24"/>
        </w:rPr>
        <w:t>were</w:t>
      </w:r>
      <w:r w:rsidR="00625D62" w:rsidRPr="00F75BD6">
        <w:rPr>
          <w:rFonts w:asciiTheme="minorHAnsi" w:eastAsiaTheme="minorHAnsi" w:hAnsiTheme="minorHAnsi" w:cstheme="minorBidi"/>
          <w:sz w:val="24"/>
          <w:szCs w:val="24"/>
        </w:rPr>
        <w:t xml:space="preserve"> able to give a more comprehensive account of their achievements in the TAR, although a significant proportion chose to give different information in TAR and SIR (</w:t>
      </w:r>
      <w:proofErr w:type="gramStart"/>
      <w:r w:rsidR="00625D62" w:rsidRPr="00F75BD6">
        <w:rPr>
          <w:rFonts w:asciiTheme="minorHAnsi" w:eastAsiaTheme="minorHAnsi" w:hAnsiTheme="minorHAnsi" w:cstheme="minorBidi"/>
          <w:sz w:val="24"/>
          <w:szCs w:val="24"/>
        </w:rPr>
        <w:t>24%</w:t>
      </w:r>
      <w:proofErr w:type="gramEnd"/>
      <w:r w:rsidR="00625D62" w:rsidRPr="00F75BD6">
        <w:rPr>
          <w:rFonts w:asciiTheme="minorHAnsi" w:eastAsiaTheme="minorHAnsi" w:hAnsiTheme="minorHAnsi" w:cstheme="minorBidi"/>
          <w:sz w:val="24"/>
          <w:szCs w:val="24"/>
        </w:rPr>
        <w:t>.)</w:t>
      </w:r>
    </w:p>
    <w:p w:rsidR="000471FE" w:rsidRPr="00F75BD6" w:rsidRDefault="000471FE" w:rsidP="00F75BD6">
      <w:pPr>
        <w:ind w:firstLine="720"/>
        <w:rPr>
          <w:rFonts w:asciiTheme="minorHAnsi" w:eastAsiaTheme="minorHAnsi" w:hAnsiTheme="minorHAnsi" w:cstheme="minorBidi"/>
          <w:sz w:val="24"/>
          <w:szCs w:val="24"/>
        </w:rPr>
      </w:pPr>
    </w:p>
    <w:tbl>
      <w:tblPr>
        <w:tblStyle w:val="TableGrid"/>
        <w:tblW w:w="0" w:type="auto"/>
        <w:tblLook w:val="04A0" w:firstRow="1" w:lastRow="0" w:firstColumn="1" w:lastColumn="0" w:noHBand="0" w:noVBand="1"/>
      </w:tblPr>
      <w:tblGrid>
        <w:gridCol w:w="1623"/>
        <w:gridCol w:w="1276"/>
        <w:gridCol w:w="1297"/>
        <w:gridCol w:w="1263"/>
        <w:gridCol w:w="1263"/>
        <w:gridCol w:w="1249"/>
        <w:gridCol w:w="1271"/>
      </w:tblGrid>
      <w:tr w:rsidR="00505B22" w:rsidRPr="000471FE" w:rsidTr="000471FE">
        <w:tc>
          <w:tcPr>
            <w:tcW w:w="1320" w:type="dxa"/>
          </w:tcPr>
          <w:p w:rsidR="000471FE" w:rsidRPr="000471FE" w:rsidRDefault="00D51E48" w:rsidP="00625D62">
            <w:pPr>
              <w:rPr>
                <w:rFonts w:asciiTheme="minorHAnsi" w:eastAsiaTheme="minorHAnsi" w:hAnsiTheme="minorHAnsi" w:cstheme="minorBidi"/>
                <w:sz w:val="24"/>
                <w:szCs w:val="24"/>
              </w:rPr>
            </w:pPr>
            <w:r>
              <w:rPr>
                <w:rFonts w:asciiTheme="minorHAnsi" w:eastAsiaTheme="minorHAnsi" w:hAnsiTheme="minorHAnsi" w:cstheme="minorBidi"/>
                <w:sz w:val="24"/>
                <w:szCs w:val="24"/>
              </w:rPr>
              <w:t>%</w:t>
            </w:r>
          </w:p>
        </w:tc>
        <w:tc>
          <w:tcPr>
            <w:tcW w:w="1320" w:type="dxa"/>
          </w:tcPr>
          <w:p w:rsidR="000471FE" w:rsidRPr="000471FE" w:rsidRDefault="00505B22" w:rsidP="00625D62">
            <w:pPr>
              <w:rPr>
                <w:rFonts w:asciiTheme="minorHAnsi" w:eastAsiaTheme="minorHAnsi" w:hAnsiTheme="minorHAnsi" w:cstheme="minorBidi"/>
                <w:sz w:val="24"/>
                <w:szCs w:val="24"/>
              </w:rPr>
            </w:pPr>
            <w:r>
              <w:rPr>
                <w:rFonts w:asciiTheme="minorHAnsi" w:eastAsiaTheme="minorHAnsi" w:hAnsiTheme="minorHAnsi" w:cstheme="minorBidi"/>
                <w:sz w:val="24"/>
                <w:szCs w:val="24"/>
              </w:rPr>
              <w:t>Similar</w:t>
            </w:r>
          </w:p>
        </w:tc>
        <w:tc>
          <w:tcPr>
            <w:tcW w:w="1320" w:type="dxa"/>
          </w:tcPr>
          <w:p w:rsidR="000471FE" w:rsidRPr="000471FE" w:rsidRDefault="00505B22" w:rsidP="00625D62">
            <w:pPr>
              <w:rPr>
                <w:rFonts w:asciiTheme="minorHAnsi" w:eastAsiaTheme="minorHAnsi" w:hAnsiTheme="minorHAnsi" w:cstheme="minorBidi"/>
                <w:sz w:val="24"/>
                <w:szCs w:val="24"/>
              </w:rPr>
            </w:pPr>
            <w:r>
              <w:rPr>
                <w:rFonts w:asciiTheme="minorHAnsi" w:eastAsiaTheme="minorHAnsi" w:hAnsiTheme="minorHAnsi" w:cstheme="minorBidi"/>
                <w:sz w:val="24"/>
                <w:szCs w:val="24"/>
              </w:rPr>
              <w:t>Different</w:t>
            </w:r>
          </w:p>
        </w:tc>
        <w:tc>
          <w:tcPr>
            <w:tcW w:w="1320" w:type="dxa"/>
          </w:tcPr>
          <w:p w:rsidR="000471FE" w:rsidRPr="000471FE" w:rsidRDefault="00505B22" w:rsidP="00625D62">
            <w:pPr>
              <w:rPr>
                <w:rFonts w:asciiTheme="minorHAnsi" w:eastAsiaTheme="minorHAnsi" w:hAnsiTheme="minorHAnsi" w:cstheme="minorBidi"/>
                <w:sz w:val="24"/>
                <w:szCs w:val="24"/>
              </w:rPr>
            </w:pPr>
            <w:r>
              <w:rPr>
                <w:rFonts w:asciiTheme="minorHAnsi" w:eastAsiaTheme="minorHAnsi" w:hAnsiTheme="minorHAnsi" w:cstheme="minorBidi"/>
                <w:sz w:val="24"/>
                <w:szCs w:val="24"/>
              </w:rPr>
              <w:t>More in TAR</w:t>
            </w:r>
          </w:p>
        </w:tc>
        <w:tc>
          <w:tcPr>
            <w:tcW w:w="1320" w:type="dxa"/>
          </w:tcPr>
          <w:p w:rsidR="000471FE" w:rsidRPr="000471FE" w:rsidRDefault="00505B22" w:rsidP="00625D62">
            <w:pPr>
              <w:rPr>
                <w:rFonts w:asciiTheme="minorHAnsi" w:eastAsiaTheme="minorHAnsi" w:hAnsiTheme="minorHAnsi" w:cstheme="minorBidi"/>
                <w:sz w:val="24"/>
                <w:szCs w:val="24"/>
              </w:rPr>
            </w:pPr>
            <w:r>
              <w:rPr>
                <w:rFonts w:asciiTheme="minorHAnsi" w:eastAsiaTheme="minorHAnsi" w:hAnsiTheme="minorHAnsi" w:cstheme="minorBidi"/>
                <w:sz w:val="24"/>
                <w:szCs w:val="24"/>
              </w:rPr>
              <w:t>More in SIR</w:t>
            </w:r>
          </w:p>
        </w:tc>
        <w:tc>
          <w:tcPr>
            <w:tcW w:w="1321" w:type="dxa"/>
          </w:tcPr>
          <w:p w:rsidR="000471FE" w:rsidRPr="000471FE" w:rsidRDefault="00505B22" w:rsidP="00625D62">
            <w:pPr>
              <w:rPr>
                <w:rFonts w:asciiTheme="minorHAnsi" w:eastAsiaTheme="minorHAnsi" w:hAnsiTheme="minorHAnsi" w:cstheme="minorBidi"/>
                <w:sz w:val="24"/>
                <w:szCs w:val="24"/>
              </w:rPr>
            </w:pPr>
            <w:r>
              <w:rPr>
                <w:rFonts w:asciiTheme="minorHAnsi" w:eastAsiaTheme="minorHAnsi" w:hAnsiTheme="minorHAnsi" w:cstheme="minorBidi"/>
                <w:sz w:val="24"/>
                <w:szCs w:val="24"/>
              </w:rPr>
              <w:t>Not in TAR</w:t>
            </w:r>
          </w:p>
        </w:tc>
        <w:tc>
          <w:tcPr>
            <w:tcW w:w="1321" w:type="dxa"/>
          </w:tcPr>
          <w:p w:rsidR="000471FE" w:rsidRPr="0021075A" w:rsidRDefault="000471FE" w:rsidP="00625D62">
            <w:pPr>
              <w:rPr>
                <w:rFonts w:asciiTheme="minorHAnsi" w:eastAsiaTheme="minorHAnsi" w:hAnsiTheme="minorHAnsi" w:cstheme="minorBidi"/>
                <w:sz w:val="24"/>
                <w:szCs w:val="24"/>
              </w:rPr>
            </w:pPr>
            <w:r w:rsidRPr="0021075A">
              <w:rPr>
                <w:rFonts w:asciiTheme="minorHAnsi" w:eastAsiaTheme="minorHAnsi" w:hAnsiTheme="minorHAnsi" w:cstheme="minorBidi"/>
                <w:sz w:val="24"/>
                <w:szCs w:val="24"/>
              </w:rPr>
              <w:t>Vague in both</w:t>
            </w:r>
          </w:p>
        </w:tc>
      </w:tr>
      <w:tr w:rsidR="00505B22" w:rsidRPr="000471FE" w:rsidTr="000471FE">
        <w:tc>
          <w:tcPr>
            <w:tcW w:w="1320" w:type="dxa"/>
          </w:tcPr>
          <w:p w:rsidR="000471FE" w:rsidRPr="0006217A" w:rsidRDefault="000471FE" w:rsidP="00625D62">
            <w:pPr>
              <w:rPr>
                <w:rFonts w:asciiTheme="minorHAnsi" w:eastAsiaTheme="minorHAnsi" w:hAnsiTheme="minorHAnsi" w:cstheme="minorBidi"/>
                <w:b/>
                <w:sz w:val="24"/>
                <w:szCs w:val="24"/>
              </w:rPr>
            </w:pPr>
            <w:r w:rsidRPr="0006217A">
              <w:rPr>
                <w:rFonts w:asciiTheme="minorHAnsi" w:eastAsiaTheme="minorHAnsi" w:hAnsiTheme="minorHAnsi" w:cstheme="minorBidi"/>
                <w:b/>
                <w:sz w:val="24"/>
                <w:szCs w:val="24"/>
              </w:rPr>
              <w:t>Aims</w:t>
            </w:r>
          </w:p>
        </w:tc>
        <w:tc>
          <w:tcPr>
            <w:tcW w:w="1320"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66</w:t>
            </w:r>
          </w:p>
        </w:tc>
        <w:tc>
          <w:tcPr>
            <w:tcW w:w="1320"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3</w:t>
            </w:r>
          </w:p>
        </w:tc>
        <w:tc>
          <w:tcPr>
            <w:tcW w:w="1320"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20</w:t>
            </w:r>
          </w:p>
        </w:tc>
        <w:tc>
          <w:tcPr>
            <w:tcW w:w="1320"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10</w:t>
            </w:r>
          </w:p>
        </w:tc>
        <w:tc>
          <w:tcPr>
            <w:tcW w:w="1321"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2</w:t>
            </w:r>
          </w:p>
        </w:tc>
        <w:tc>
          <w:tcPr>
            <w:tcW w:w="1321" w:type="dxa"/>
          </w:tcPr>
          <w:p w:rsidR="000471FE" w:rsidRPr="000471FE" w:rsidRDefault="000471FE" w:rsidP="00625D62">
            <w:pPr>
              <w:rPr>
                <w:rFonts w:asciiTheme="minorHAnsi" w:eastAsiaTheme="minorHAnsi" w:hAnsiTheme="minorHAnsi" w:cstheme="minorBidi"/>
                <w:sz w:val="24"/>
                <w:szCs w:val="24"/>
              </w:rPr>
            </w:pPr>
          </w:p>
        </w:tc>
      </w:tr>
      <w:tr w:rsidR="00505B22" w:rsidRPr="000471FE" w:rsidTr="000471FE">
        <w:tc>
          <w:tcPr>
            <w:tcW w:w="1320" w:type="dxa"/>
          </w:tcPr>
          <w:p w:rsidR="000471FE" w:rsidRPr="0006217A" w:rsidRDefault="000471FE" w:rsidP="00625D62">
            <w:pPr>
              <w:rPr>
                <w:rFonts w:asciiTheme="minorHAnsi" w:eastAsiaTheme="minorHAnsi" w:hAnsiTheme="minorHAnsi" w:cstheme="minorBidi"/>
                <w:b/>
                <w:sz w:val="24"/>
                <w:szCs w:val="24"/>
              </w:rPr>
            </w:pPr>
            <w:r w:rsidRPr="0006217A">
              <w:rPr>
                <w:rFonts w:asciiTheme="minorHAnsi" w:eastAsiaTheme="minorHAnsi" w:hAnsiTheme="minorHAnsi" w:cstheme="minorBidi"/>
                <w:b/>
                <w:sz w:val="24"/>
                <w:szCs w:val="24"/>
              </w:rPr>
              <w:t>Strategy</w:t>
            </w:r>
          </w:p>
        </w:tc>
        <w:tc>
          <w:tcPr>
            <w:tcW w:w="1320"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19</w:t>
            </w:r>
          </w:p>
        </w:tc>
        <w:tc>
          <w:tcPr>
            <w:tcW w:w="1320"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13</w:t>
            </w:r>
          </w:p>
        </w:tc>
        <w:tc>
          <w:tcPr>
            <w:tcW w:w="1320"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41</w:t>
            </w:r>
          </w:p>
        </w:tc>
        <w:tc>
          <w:tcPr>
            <w:tcW w:w="1320"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7</w:t>
            </w:r>
          </w:p>
        </w:tc>
        <w:tc>
          <w:tcPr>
            <w:tcW w:w="1321"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6</w:t>
            </w:r>
          </w:p>
        </w:tc>
        <w:tc>
          <w:tcPr>
            <w:tcW w:w="1321"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18</w:t>
            </w:r>
          </w:p>
        </w:tc>
      </w:tr>
      <w:tr w:rsidR="00505B22" w:rsidRPr="000471FE" w:rsidTr="000471FE">
        <w:tc>
          <w:tcPr>
            <w:tcW w:w="1320" w:type="dxa"/>
          </w:tcPr>
          <w:p w:rsidR="000471FE" w:rsidRPr="0006217A" w:rsidRDefault="000471FE" w:rsidP="000471FE">
            <w:pPr>
              <w:rPr>
                <w:rFonts w:ascii="Arial" w:eastAsia="Times New Roman" w:hAnsi="Arial" w:cs="Arial"/>
                <w:b/>
                <w:sz w:val="24"/>
                <w:szCs w:val="24"/>
                <w:lang w:eastAsia="en-GB"/>
              </w:rPr>
            </w:pPr>
            <w:r w:rsidRPr="0006217A">
              <w:rPr>
                <w:rFonts w:eastAsia="Times New Roman" w:cs="Arial"/>
                <w:b/>
                <w:color w:val="000000" w:themeColor="dark1"/>
                <w:kern w:val="24"/>
                <w:sz w:val="24"/>
                <w:szCs w:val="24"/>
                <w:lang w:eastAsia="en-GB"/>
              </w:rPr>
              <w:t>Objectives</w:t>
            </w:r>
          </w:p>
          <w:p w:rsidR="000471FE" w:rsidRPr="0006217A" w:rsidRDefault="000471FE" w:rsidP="000471FE">
            <w:pPr>
              <w:rPr>
                <w:rFonts w:asciiTheme="minorHAnsi" w:eastAsiaTheme="minorHAnsi" w:hAnsiTheme="minorHAnsi" w:cstheme="minorBidi"/>
                <w:b/>
                <w:sz w:val="24"/>
                <w:szCs w:val="24"/>
              </w:rPr>
            </w:pPr>
            <w:r w:rsidRPr="0006217A">
              <w:rPr>
                <w:rFonts w:eastAsia="Times New Roman" w:cs="Arial"/>
                <w:b/>
                <w:color w:val="000000" w:themeColor="dark1"/>
                <w:kern w:val="24"/>
                <w:sz w:val="24"/>
                <w:szCs w:val="24"/>
                <w:lang w:eastAsia="en-GB"/>
              </w:rPr>
              <w:t>(for following year)</w:t>
            </w:r>
          </w:p>
        </w:tc>
        <w:tc>
          <w:tcPr>
            <w:tcW w:w="1320"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9</w:t>
            </w:r>
          </w:p>
        </w:tc>
        <w:tc>
          <w:tcPr>
            <w:tcW w:w="1320"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4</w:t>
            </w:r>
          </w:p>
        </w:tc>
        <w:tc>
          <w:tcPr>
            <w:tcW w:w="1320"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16</w:t>
            </w:r>
          </w:p>
        </w:tc>
        <w:tc>
          <w:tcPr>
            <w:tcW w:w="1320"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1</w:t>
            </w:r>
          </w:p>
        </w:tc>
        <w:tc>
          <w:tcPr>
            <w:tcW w:w="1321" w:type="dxa"/>
          </w:tcPr>
          <w:p w:rsidR="000471FE" w:rsidRPr="0006217A" w:rsidRDefault="000471FE" w:rsidP="00625D62">
            <w:pPr>
              <w:rPr>
                <w:rFonts w:asciiTheme="minorHAnsi" w:eastAsiaTheme="minorHAnsi" w:hAnsiTheme="minorHAnsi" w:cstheme="minorBidi"/>
                <w:b/>
                <w:sz w:val="24"/>
                <w:szCs w:val="24"/>
              </w:rPr>
            </w:pPr>
            <w:r w:rsidRPr="0006217A">
              <w:rPr>
                <w:rFonts w:asciiTheme="minorHAnsi" w:eastAsiaTheme="minorHAnsi" w:hAnsiTheme="minorHAnsi" w:cstheme="minorBidi"/>
                <w:b/>
                <w:sz w:val="24"/>
                <w:szCs w:val="24"/>
              </w:rPr>
              <w:t>69</w:t>
            </w:r>
          </w:p>
        </w:tc>
        <w:tc>
          <w:tcPr>
            <w:tcW w:w="1321"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1</w:t>
            </w:r>
          </w:p>
        </w:tc>
      </w:tr>
      <w:tr w:rsidR="00505B22" w:rsidRPr="000471FE" w:rsidTr="000471FE">
        <w:tc>
          <w:tcPr>
            <w:tcW w:w="1320" w:type="dxa"/>
          </w:tcPr>
          <w:p w:rsidR="000471FE" w:rsidRPr="0006217A" w:rsidRDefault="000471FE" w:rsidP="00625D62">
            <w:pPr>
              <w:rPr>
                <w:rFonts w:asciiTheme="minorHAnsi" w:eastAsiaTheme="minorHAnsi" w:hAnsiTheme="minorHAnsi" w:cstheme="minorBidi"/>
                <w:b/>
                <w:sz w:val="24"/>
                <w:szCs w:val="24"/>
              </w:rPr>
            </w:pPr>
            <w:r w:rsidRPr="0006217A">
              <w:rPr>
                <w:rFonts w:eastAsia="Times New Roman" w:cs="Arial"/>
                <w:b/>
                <w:color w:val="000000" w:themeColor="dark1"/>
                <w:kern w:val="24"/>
                <w:sz w:val="24"/>
                <w:szCs w:val="24"/>
                <w:lang w:eastAsia="en-GB"/>
              </w:rPr>
              <w:t>Achievements</w:t>
            </w:r>
          </w:p>
        </w:tc>
        <w:tc>
          <w:tcPr>
            <w:tcW w:w="1320"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3</w:t>
            </w:r>
          </w:p>
        </w:tc>
        <w:tc>
          <w:tcPr>
            <w:tcW w:w="1320"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24</w:t>
            </w:r>
          </w:p>
        </w:tc>
        <w:tc>
          <w:tcPr>
            <w:tcW w:w="1320"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56</w:t>
            </w:r>
          </w:p>
        </w:tc>
        <w:tc>
          <w:tcPr>
            <w:tcW w:w="1320"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9</w:t>
            </w:r>
          </w:p>
        </w:tc>
        <w:tc>
          <w:tcPr>
            <w:tcW w:w="1321" w:type="dxa"/>
          </w:tcPr>
          <w:p w:rsidR="000471FE" w:rsidRPr="000471FE" w:rsidRDefault="000471FE" w:rsidP="00625D62">
            <w:pPr>
              <w:rPr>
                <w:rFonts w:asciiTheme="minorHAnsi" w:eastAsiaTheme="minorHAnsi" w:hAnsiTheme="minorHAnsi" w:cstheme="minorBidi"/>
                <w:sz w:val="24"/>
                <w:szCs w:val="24"/>
              </w:rPr>
            </w:pPr>
            <w:r w:rsidRPr="000471FE">
              <w:rPr>
                <w:rFonts w:asciiTheme="minorHAnsi" w:eastAsiaTheme="minorHAnsi" w:hAnsiTheme="minorHAnsi" w:cstheme="minorBidi"/>
                <w:sz w:val="24"/>
                <w:szCs w:val="24"/>
              </w:rPr>
              <w:t>9</w:t>
            </w:r>
          </w:p>
        </w:tc>
        <w:tc>
          <w:tcPr>
            <w:tcW w:w="1321" w:type="dxa"/>
          </w:tcPr>
          <w:p w:rsidR="000471FE" w:rsidRPr="000471FE" w:rsidRDefault="000471FE" w:rsidP="00625D62">
            <w:pPr>
              <w:rPr>
                <w:rFonts w:asciiTheme="minorHAnsi" w:eastAsiaTheme="minorHAnsi" w:hAnsiTheme="minorHAnsi" w:cstheme="minorBidi"/>
                <w:sz w:val="24"/>
                <w:szCs w:val="24"/>
              </w:rPr>
            </w:pPr>
          </w:p>
        </w:tc>
      </w:tr>
    </w:tbl>
    <w:p w:rsidR="00E67C63" w:rsidRPr="0006217A" w:rsidRDefault="00505B22" w:rsidP="00625D62">
      <w:pPr>
        <w:ind w:firstLine="720"/>
        <w:rPr>
          <w:rFonts w:asciiTheme="minorHAnsi" w:eastAsiaTheme="minorHAnsi" w:hAnsiTheme="minorHAnsi" w:cstheme="minorBidi"/>
          <w:b/>
          <w:sz w:val="24"/>
          <w:szCs w:val="24"/>
        </w:rPr>
      </w:pPr>
      <w:r w:rsidRPr="0006217A">
        <w:rPr>
          <w:rFonts w:asciiTheme="minorHAnsi" w:eastAsiaTheme="minorHAnsi" w:hAnsiTheme="minorHAnsi" w:cstheme="minorBidi"/>
          <w:b/>
          <w:sz w:val="24"/>
          <w:szCs w:val="24"/>
        </w:rPr>
        <w:t xml:space="preserve">Table </w:t>
      </w:r>
      <w:proofErr w:type="gramStart"/>
      <w:r w:rsidRPr="0006217A">
        <w:rPr>
          <w:rFonts w:asciiTheme="minorHAnsi" w:eastAsiaTheme="minorHAnsi" w:hAnsiTheme="minorHAnsi" w:cstheme="minorBidi"/>
          <w:b/>
          <w:sz w:val="24"/>
          <w:szCs w:val="24"/>
        </w:rPr>
        <w:t>8 :</w:t>
      </w:r>
      <w:proofErr w:type="gramEnd"/>
      <w:r w:rsidRPr="0006217A">
        <w:rPr>
          <w:rFonts w:asciiTheme="minorHAnsi" w:eastAsiaTheme="minorHAnsi" w:hAnsiTheme="minorHAnsi" w:cstheme="minorBidi"/>
          <w:b/>
          <w:sz w:val="24"/>
          <w:szCs w:val="24"/>
        </w:rPr>
        <w:t xml:space="preserve"> Comparison of Trustees’ Annual Report and Summary Information Returns</w:t>
      </w:r>
    </w:p>
    <w:p w:rsidR="008A7628" w:rsidRPr="00F75BD6" w:rsidRDefault="00625D62" w:rsidP="00625D62">
      <w:pPr>
        <w:ind w:firstLine="720"/>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However, there is a significant issue addressed in the SIR but not the TAR. </w:t>
      </w:r>
      <w:r w:rsidR="00D810AF" w:rsidRPr="00F75BD6">
        <w:rPr>
          <w:rFonts w:asciiTheme="minorHAnsi" w:eastAsiaTheme="minorHAnsi" w:hAnsiTheme="minorHAnsi" w:cstheme="minorBidi"/>
          <w:sz w:val="24"/>
          <w:szCs w:val="24"/>
        </w:rPr>
        <w:t>While the TAR only has one rather vague question about future plans, the SIR ask</w:t>
      </w:r>
      <w:r w:rsidR="007739CE" w:rsidRPr="00F75BD6">
        <w:rPr>
          <w:rFonts w:asciiTheme="minorHAnsi" w:eastAsiaTheme="minorHAnsi" w:hAnsiTheme="minorHAnsi" w:cstheme="minorBidi"/>
          <w:sz w:val="24"/>
          <w:szCs w:val="24"/>
        </w:rPr>
        <w:t>s</w:t>
      </w:r>
      <w:r w:rsidR="00D810AF" w:rsidRPr="00F75BD6">
        <w:rPr>
          <w:rFonts w:asciiTheme="minorHAnsi" w:eastAsiaTheme="minorHAnsi" w:hAnsiTheme="minorHAnsi" w:cstheme="minorBidi"/>
          <w:sz w:val="24"/>
          <w:szCs w:val="24"/>
        </w:rPr>
        <w:t xml:space="preserve"> for more specific information and breaks it into two questions, distinguishing between strategic direction and plans for the following year. </w:t>
      </w:r>
      <w:r w:rsidR="007739CE" w:rsidRPr="00F75BD6">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In the TARs, </w:t>
      </w:r>
      <w:r w:rsidR="007739CE" w:rsidRPr="00F75BD6">
        <w:rPr>
          <w:rFonts w:asciiTheme="minorHAnsi" w:eastAsiaTheme="minorHAnsi" w:hAnsiTheme="minorHAnsi" w:cstheme="minorBidi"/>
          <w:sz w:val="24"/>
          <w:szCs w:val="24"/>
        </w:rPr>
        <w:t>69</w:t>
      </w:r>
      <w:r w:rsidR="00274592">
        <w:rPr>
          <w:rFonts w:asciiTheme="minorHAnsi" w:eastAsiaTheme="minorHAnsi" w:hAnsiTheme="minorHAnsi" w:cstheme="minorBidi"/>
          <w:sz w:val="24"/>
          <w:szCs w:val="24"/>
        </w:rPr>
        <w:t>% of</w:t>
      </w:r>
      <w:r w:rsidR="007739CE" w:rsidRPr="00F75BD6">
        <w:rPr>
          <w:rFonts w:asciiTheme="minorHAnsi" w:eastAsiaTheme="minorHAnsi" w:hAnsiTheme="minorHAnsi" w:cstheme="minorBidi"/>
          <w:sz w:val="24"/>
          <w:szCs w:val="24"/>
        </w:rPr>
        <w:t xml:space="preserve"> hospices </w:t>
      </w:r>
      <w:r w:rsidR="00E67C63">
        <w:rPr>
          <w:rFonts w:asciiTheme="minorHAnsi" w:eastAsiaTheme="minorHAnsi" w:hAnsiTheme="minorHAnsi" w:cstheme="minorBidi"/>
          <w:sz w:val="24"/>
          <w:szCs w:val="24"/>
        </w:rPr>
        <w:t>d</w:t>
      </w:r>
      <w:r w:rsidR="00683ADF">
        <w:rPr>
          <w:rFonts w:asciiTheme="minorHAnsi" w:eastAsiaTheme="minorHAnsi" w:hAnsiTheme="minorHAnsi" w:cstheme="minorBidi"/>
          <w:sz w:val="24"/>
          <w:szCs w:val="24"/>
        </w:rPr>
        <w:t>id</w:t>
      </w:r>
      <w:r w:rsidR="00E67C63">
        <w:rPr>
          <w:rFonts w:asciiTheme="minorHAnsi" w:eastAsiaTheme="minorHAnsi" w:hAnsiTheme="minorHAnsi" w:cstheme="minorBidi"/>
          <w:sz w:val="24"/>
          <w:szCs w:val="24"/>
        </w:rPr>
        <w:t xml:space="preserve"> not report</w:t>
      </w:r>
      <w:r w:rsidR="007739CE" w:rsidRPr="00F75BD6">
        <w:rPr>
          <w:rFonts w:asciiTheme="minorHAnsi" w:eastAsiaTheme="minorHAnsi" w:hAnsiTheme="minorHAnsi" w:cstheme="minorBidi"/>
          <w:sz w:val="24"/>
          <w:szCs w:val="24"/>
        </w:rPr>
        <w:t xml:space="preserve"> detailed objectives for the previous year, thus not allowing any view to be taken on how they ha</w:t>
      </w:r>
      <w:r w:rsidR="00515AA0">
        <w:rPr>
          <w:rFonts w:asciiTheme="minorHAnsi" w:eastAsiaTheme="minorHAnsi" w:hAnsiTheme="minorHAnsi" w:cstheme="minorBidi"/>
          <w:sz w:val="24"/>
          <w:szCs w:val="24"/>
        </w:rPr>
        <w:t>ve</w:t>
      </w:r>
      <w:r w:rsidR="007739CE" w:rsidRPr="00F75BD6">
        <w:rPr>
          <w:rFonts w:asciiTheme="minorHAnsi" w:eastAsiaTheme="minorHAnsi" w:hAnsiTheme="minorHAnsi" w:cstheme="minorBidi"/>
          <w:sz w:val="24"/>
          <w:szCs w:val="24"/>
        </w:rPr>
        <w:t xml:space="preserve"> performed against those objectives. </w:t>
      </w:r>
      <w:r w:rsidR="00AE3CA1">
        <w:rPr>
          <w:rFonts w:asciiTheme="minorHAnsi" w:eastAsiaTheme="minorHAnsi" w:hAnsiTheme="minorHAnsi" w:cstheme="minorBidi"/>
          <w:sz w:val="24"/>
          <w:szCs w:val="24"/>
        </w:rPr>
        <w:t xml:space="preserve">As these </w:t>
      </w:r>
      <w:r w:rsidR="00D27A08">
        <w:rPr>
          <w:rFonts w:asciiTheme="minorHAnsi" w:eastAsiaTheme="minorHAnsi" w:hAnsiTheme="minorHAnsi" w:cstheme="minorBidi"/>
          <w:sz w:val="24"/>
          <w:szCs w:val="24"/>
        </w:rPr>
        <w:t>were</w:t>
      </w:r>
      <w:r w:rsidR="00AE3CA1">
        <w:rPr>
          <w:rFonts w:asciiTheme="minorHAnsi" w:eastAsiaTheme="minorHAnsi" w:hAnsiTheme="minorHAnsi" w:cstheme="minorBidi"/>
          <w:sz w:val="24"/>
          <w:szCs w:val="24"/>
        </w:rPr>
        <w:t xml:space="preserve"> required in the SIR, they </w:t>
      </w:r>
      <w:r w:rsidR="00D27A08">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 </w:t>
      </w:r>
      <w:r w:rsidR="00AE3CA1">
        <w:rPr>
          <w:rFonts w:asciiTheme="minorHAnsi" w:eastAsiaTheme="minorHAnsi" w:hAnsiTheme="minorHAnsi" w:cstheme="minorBidi"/>
          <w:sz w:val="24"/>
          <w:szCs w:val="24"/>
        </w:rPr>
        <w:t xml:space="preserve">were set out for every hospice, albeit with degrees of specificity. </w:t>
      </w:r>
      <w:r w:rsidR="008A7628" w:rsidRPr="00F75BD6">
        <w:rPr>
          <w:rFonts w:asciiTheme="minorHAnsi" w:eastAsiaTheme="minorHAnsi" w:hAnsiTheme="minorHAnsi" w:cstheme="minorBidi"/>
          <w:sz w:val="24"/>
          <w:szCs w:val="24"/>
        </w:rPr>
        <w:t xml:space="preserve"> </w:t>
      </w:r>
      <w:r w:rsidR="00784268">
        <w:rPr>
          <w:rFonts w:asciiTheme="minorHAnsi" w:eastAsiaTheme="minorHAnsi" w:hAnsiTheme="minorHAnsi" w:cstheme="minorBidi"/>
          <w:sz w:val="24"/>
          <w:szCs w:val="24"/>
        </w:rPr>
        <w:t>The new SORP (</w:t>
      </w:r>
      <w:r w:rsidR="00DE5379">
        <w:rPr>
          <w:rFonts w:asciiTheme="minorHAnsi" w:eastAsiaTheme="minorHAnsi" w:hAnsiTheme="minorHAnsi" w:cstheme="minorBidi"/>
          <w:sz w:val="24"/>
          <w:szCs w:val="24"/>
        </w:rPr>
        <w:t>Charity Commission, 2015</w:t>
      </w:r>
      <w:r w:rsidR="00784268">
        <w:rPr>
          <w:rFonts w:asciiTheme="minorHAnsi" w:eastAsiaTheme="minorHAnsi" w:hAnsiTheme="minorHAnsi" w:cstheme="minorBidi"/>
          <w:sz w:val="24"/>
          <w:szCs w:val="24"/>
        </w:rPr>
        <w:t>) for larger charities lays out requirements for the reporting of objectives and achievement in more detail than SORP 2005 but does not require that specific objectives determined in one year should be reported against in the following year</w:t>
      </w:r>
      <w:r w:rsidR="00683ADF">
        <w:rPr>
          <w:rFonts w:asciiTheme="minorHAnsi" w:eastAsiaTheme="minorHAnsi" w:hAnsiTheme="minorHAnsi" w:cstheme="minorBidi"/>
          <w:sz w:val="24"/>
          <w:szCs w:val="24"/>
        </w:rPr>
        <w:t>.</w:t>
      </w:r>
    </w:p>
    <w:p w:rsidR="000554C2" w:rsidRDefault="000554C2" w:rsidP="00F75BD6">
      <w:pPr>
        <w:ind w:firstLine="720"/>
        <w:contextualSpacing/>
        <w:rPr>
          <w:rFonts w:asciiTheme="minorHAnsi" w:eastAsiaTheme="minorHAnsi" w:hAnsiTheme="minorHAnsi" w:cstheme="minorBidi"/>
          <w:sz w:val="24"/>
          <w:szCs w:val="24"/>
        </w:rPr>
      </w:pPr>
    </w:p>
    <w:p w:rsidR="00F75BD6" w:rsidRPr="00F75BD6" w:rsidRDefault="00F75BD6" w:rsidP="00F75BD6">
      <w:pPr>
        <w:contextualSpacing/>
        <w:rPr>
          <w:rFonts w:asciiTheme="minorHAnsi" w:eastAsiaTheme="minorHAnsi" w:hAnsiTheme="minorHAnsi" w:cstheme="minorBidi"/>
          <w:b/>
          <w:sz w:val="28"/>
          <w:szCs w:val="28"/>
        </w:rPr>
      </w:pPr>
      <w:r w:rsidRPr="00F75BD6">
        <w:rPr>
          <w:rFonts w:asciiTheme="minorHAnsi" w:eastAsiaTheme="minorHAnsi" w:hAnsiTheme="minorHAnsi" w:cstheme="minorBidi"/>
          <w:b/>
          <w:sz w:val="28"/>
          <w:szCs w:val="28"/>
        </w:rPr>
        <w:t>Conclusions</w:t>
      </w:r>
    </w:p>
    <w:p w:rsidR="00625D62" w:rsidRDefault="00625D62" w:rsidP="00F75BD6">
      <w:pPr>
        <w:ind w:firstLine="720"/>
        <w:contextualSpacing/>
        <w:rPr>
          <w:rFonts w:asciiTheme="minorHAnsi" w:eastAsiaTheme="minorHAnsi" w:hAnsiTheme="minorHAnsi" w:cstheme="minorBidi"/>
          <w:sz w:val="24"/>
          <w:szCs w:val="24"/>
        </w:rPr>
      </w:pPr>
    </w:p>
    <w:p w:rsidR="00E67C63" w:rsidRDefault="00625D62" w:rsidP="00FD3F48">
      <w:pPr>
        <w:ind w:firstLine="720"/>
        <w:rPr>
          <w:rFonts w:cs="Calibri"/>
          <w:sz w:val="24"/>
          <w:szCs w:val="24"/>
        </w:rPr>
      </w:pPr>
      <w:r>
        <w:rPr>
          <w:rFonts w:asciiTheme="minorHAnsi" w:eastAsiaTheme="minorHAnsi" w:hAnsiTheme="minorHAnsi" w:cstheme="minorBidi"/>
          <w:sz w:val="24"/>
          <w:szCs w:val="24"/>
        </w:rPr>
        <w:t xml:space="preserve">The usefulness of charity reporting has been analysed over several decades, particularly in terms of how measures of efficiency and effectiveness are stated.  This has primarily used the public sector language, comparing inputs to output, output to outcomes, </w:t>
      </w:r>
      <w:r>
        <w:rPr>
          <w:rFonts w:asciiTheme="minorHAnsi" w:eastAsiaTheme="minorHAnsi" w:hAnsiTheme="minorHAnsi" w:cstheme="minorBidi"/>
          <w:sz w:val="24"/>
          <w:szCs w:val="24"/>
        </w:rPr>
        <w:lastRenderedPageBreak/>
        <w:t>to assess the quality of measurement. This research has taken a different approach and looked at how independent hospices in England and Wales have compared their achievements against their strategies and objectives.</w:t>
      </w:r>
      <w:r w:rsidR="00AC7B0A">
        <w:rPr>
          <w:rFonts w:asciiTheme="minorHAnsi" w:eastAsiaTheme="minorHAnsi" w:hAnsiTheme="minorHAnsi" w:cstheme="minorBidi"/>
          <w:sz w:val="24"/>
          <w:szCs w:val="24"/>
        </w:rPr>
        <w:t xml:space="preserve"> The Summary Information Returns </w:t>
      </w:r>
      <w:r w:rsidR="00E67C63">
        <w:rPr>
          <w:rFonts w:asciiTheme="minorHAnsi" w:eastAsiaTheme="minorHAnsi" w:hAnsiTheme="minorHAnsi" w:cstheme="minorBidi"/>
          <w:sz w:val="24"/>
          <w:szCs w:val="24"/>
        </w:rPr>
        <w:t xml:space="preserve">(SIRs) </w:t>
      </w:r>
      <w:r w:rsidR="00AC7B0A">
        <w:rPr>
          <w:rFonts w:asciiTheme="minorHAnsi" w:eastAsiaTheme="minorHAnsi" w:hAnsiTheme="minorHAnsi" w:cstheme="minorBidi"/>
          <w:sz w:val="24"/>
          <w:szCs w:val="24"/>
        </w:rPr>
        <w:t>present this information in a way that aims, strategies, performance measures and achievements of hospices can be compared easily</w:t>
      </w:r>
      <w:r w:rsidR="00D17F3D">
        <w:rPr>
          <w:rFonts w:asciiTheme="minorHAnsi" w:eastAsiaTheme="minorHAnsi" w:hAnsiTheme="minorHAnsi" w:cstheme="minorBidi"/>
          <w:sz w:val="24"/>
          <w:szCs w:val="24"/>
        </w:rPr>
        <w:t>;</w:t>
      </w:r>
      <w:r w:rsidR="00AC7B0A">
        <w:rPr>
          <w:rFonts w:asciiTheme="minorHAnsi" w:eastAsiaTheme="minorHAnsi" w:hAnsiTheme="minorHAnsi" w:cstheme="minorBidi"/>
          <w:sz w:val="24"/>
          <w:szCs w:val="24"/>
        </w:rPr>
        <w:t xml:space="preserve"> collectively as a sub-sector, within individual hospices and between different reporting years. </w:t>
      </w:r>
      <w:r w:rsidR="00E86FB4">
        <w:rPr>
          <w:rFonts w:asciiTheme="minorHAnsi" w:eastAsiaTheme="minorHAnsi" w:hAnsiTheme="minorHAnsi" w:cstheme="minorBidi"/>
          <w:sz w:val="24"/>
          <w:szCs w:val="24"/>
        </w:rPr>
        <w:t xml:space="preserve"> This is </w:t>
      </w:r>
      <w:r w:rsidR="00784268">
        <w:rPr>
          <w:rFonts w:asciiTheme="minorHAnsi" w:eastAsiaTheme="minorHAnsi" w:hAnsiTheme="minorHAnsi" w:cstheme="minorBidi"/>
          <w:sz w:val="24"/>
          <w:szCs w:val="24"/>
        </w:rPr>
        <w:t>informed by</w:t>
      </w:r>
      <w:r w:rsidR="00E86FB4">
        <w:rPr>
          <w:rFonts w:asciiTheme="minorHAnsi" w:eastAsiaTheme="minorHAnsi" w:hAnsiTheme="minorHAnsi" w:cstheme="minorBidi"/>
          <w:sz w:val="24"/>
          <w:szCs w:val="24"/>
        </w:rPr>
        <w:t xml:space="preserve"> management accounting theory, particularly that of management control literature.</w:t>
      </w:r>
      <w:r w:rsidR="00E86FB4" w:rsidRPr="00E86FB4">
        <w:rPr>
          <w:rFonts w:cs="Calibri"/>
          <w:sz w:val="24"/>
          <w:szCs w:val="24"/>
        </w:rPr>
        <w:t xml:space="preserve"> </w:t>
      </w:r>
      <w:r w:rsidR="00BB0E9E">
        <w:rPr>
          <w:rFonts w:cs="Calibri"/>
          <w:sz w:val="24"/>
          <w:szCs w:val="24"/>
        </w:rPr>
        <w:t>Three developments in management control literature have been identified and compared to voluntary sector models: financial measures, cybernetic models and strategic performance measurement systems</w:t>
      </w:r>
      <w:r w:rsidR="00784268">
        <w:rPr>
          <w:rFonts w:cs="Calibri"/>
          <w:sz w:val="24"/>
          <w:szCs w:val="24"/>
        </w:rPr>
        <w:t xml:space="preserve"> (SPMS)</w:t>
      </w:r>
      <w:r w:rsidR="00BB0E9E">
        <w:rPr>
          <w:rFonts w:cs="Calibri"/>
          <w:sz w:val="24"/>
          <w:szCs w:val="24"/>
        </w:rPr>
        <w:t xml:space="preserve">. </w:t>
      </w:r>
      <w:r w:rsidR="00784268">
        <w:rPr>
          <w:rFonts w:cs="Calibri"/>
          <w:sz w:val="24"/>
          <w:szCs w:val="24"/>
        </w:rPr>
        <w:t>T</w:t>
      </w:r>
      <w:r w:rsidR="00BB0E9E">
        <w:rPr>
          <w:rFonts w:cs="Calibri"/>
          <w:sz w:val="24"/>
          <w:szCs w:val="24"/>
        </w:rPr>
        <w:t>he F</w:t>
      </w:r>
      <w:r w:rsidR="00E86FB4">
        <w:rPr>
          <w:rFonts w:cs="Calibri"/>
          <w:sz w:val="24"/>
          <w:szCs w:val="24"/>
        </w:rPr>
        <w:t>erreira /Otley model (2009)</w:t>
      </w:r>
      <w:r w:rsidR="00BB0E9E">
        <w:rPr>
          <w:rFonts w:cs="Calibri"/>
          <w:sz w:val="24"/>
          <w:szCs w:val="24"/>
        </w:rPr>
        <w:t>,</w:t>
      </w:r>
      <w:r w:rsidR="00E86FB4">
        <w:rPr>
          <w:rFonts w:cs="Calibri"/>
          <w:sz w:val="24"/>
          <w:szCs w:val="24"/>
        </w:rPr>
        <w:t xml:space="preserve"> </w:t>
      </w:r>
      <w:r w:rsidR="00BB0E9E">
        <w:rPr>
          <w:rFonts w:cs="Calibri"/>
          <w:sz w:val="24"/>
          <w:szCs w:val="24"/>
        </w:rPr>
        <w:t xml:space="preserve">a method of researching SPMSs, </w:t>
      </w:r>
      <w:r w:rsidR="00E86FB4">
        <w:rPr>
          <w:rFonts w:cs="Calibri"/>
          <w:sz w:val="24"/>
          <w:szCs w:val="24"/>
        </w:rPr>
        <w:t>maps well to SIR questions</w:t>
      </w:r>
      <w:r w:rsidR="00BB0E9E">
        <w:rPr>
          <w:rFonts w:cs="Calibri"/>
          <w:sz w:val="24"/>
          <w:szCs w:val="24"/>
        </w:rPr>
        <w:t>, t</w:t>
      </w:r>
      <w:r w:rsidR="00E86FB4">
        <w:rPr>
          <w:rFonts w:cs="Calibri"/>
          <w:sz w:val="24"/>
          <w:szCs w:val="24"/>
        </w:rPr>
        <w:t xml:space="preserve">his was used to analyse 148 SIRs to identify the extent of alignment of aims, strategies, </w:t>
      </w:r>
      <w:r w:rsidR="00320528">
        <w:rPr>
          <w:rFonts w:cs="Calibri"/>
          <w:sz w:val="24"/>
          <w:szCs w:val="24"/>
        </w:rPr>
        <w:t xml:space="preserve">objectives measures and achievements.  It found that overall there was a good degree of coherence in the themes put forward by the hospices. </w:t>
      </w:r>
      <w:r w:rsidR="00D17F3D">
        <w:rPr>
          <w:rFonts w:cs="Calibri"/>
          <w:sz w:val="24"/>
          <w:szCs w:val="24"/>
        </w:rPr>
        <w:t>However, a</w:t>
      </w:r>
      <w:r w:rsidR="00320528">
        <w:rPr>
          <w:rFonts w:cs="Calibri"/>
          <w:sz w:val="24"/>
          <w:szCs w:val="24"/>
        </w:rPr>
        <w:t>t an individual hospice level, there was little strategic alignment</w:t>
      </w:r>
      <w:r w:rsidR="00FD3F48">
        <w:rPr>
          <w:rFonts w:cs="Calibri"/>
          <w:sz w:val="24"/>
          <w:szCs w:val="24"/>
        </w:rPr>
        <w:t xml:space="preserve"> between aims, s</w:t>
      </w:r>
      <w:r w:rsidR="00BB0E9E">
        <w:rPr>
          <w:rFonts w:cs="Calibri"/>
          <w:sz w:val="24"/>
          <w:szCs w:val="24"/>
        </w:rPr>
        <w:t>t</w:t>
      </w:r>
      <w:r w:rsidR="00FD3F48">
        <w:rPr>
          <w:rFonts w:cs="Calibri"/>
          <w:sz w:val="24"/>
          <w:szCs w:val="24"/>
        </w:rPr>
        <w:t>r</w:t>
      </w:r>
      <w:r w:rsidR="00BB0E9E">
        <w:rPr>
          <w:rFonts w:cs="Calibri"/>
          <w:sz w:val="24"/>
          <w:szCs w:val="24"/>
        </w:rPr>
        <w:t>a</w:t>
      </w:r>
      <w:r w:rsidR="00FD3F48">
        <w:rPr>
          <w:rFonts w:cs="Calibri"/>
          <w:sz w:val="24"/>
          <w:szCs w:val="24"/>
        </w:rPr>
        <w:t>t</w:t>
      </w:r>
      <w:r w:rsidR="00BB0E9E">
        <w:rPr>
          <w:rFonts w:cs="Calibri"/>
          <w:sz w:val="24"/>
          <w:szCs w:val="24"/>
        </w:rPr>
        <w:t xml:space="preserve">egies and objectives. </w:t>
      </w:r>
      <w:r w:rsidR="00D17F3D">
        <w:rPr>
          <w:rFonts w:cs="Calibri"/>
          <w:sz w:val="24"/>
          <w:szCs w:val="24"/>
        </w:rPr>
        <w:t>Nevertheless,</w:t>
      </w:r>
      <w:r w:rsidR="00BB0E9E">
        <w:rPr>
          <w:rFonts w:cs="Calibri"/>
          <w:sz w:val="24"/>
          <w:szCs w:val="24"/>
        </w:rPr>
        <w:t xml:space="preserve"> there was </w:t>
      </w:r>
      <w:r w:rsidR="00FD3F48">
        <w:rPr>
          <w:rFonts w:cs="Calibri"/>
          <w:sz w:val="24"/>
          <w:szCs w:val="24"/>
        </w:rPr>
        <w:t xml:space="preserve">much </w:t>
      </w:r>
      <w:r w:rsidR="00BB0E9E">
        <w:rPr>
          <w:rFonts w:cs="Calibri"/>
          <w:sz w:val="24"/>
          <w:szCs w:val="24"/>
        </w:rPr>
        <w:t>better</w:t>
      </w:r>
      <w:r w:rsidR="00FD3F48">
        <w:rPr>
          <w:rFonts w:cs="Calibri"/>
          <w:sz w:val="24"/>
          <w:szCs w:val="24"/>
        </w:rPr>
        <w:t xml:space="preserve"> alignment where one question asks </w:t>
      </w:r>
      <w:r w:rsidR="00784268">
        <w:rPr>
          <w:rFonts w:cs="Calibri"/>
          <w:sz w:val="24"/>
          <w:szCs w:val="24"/>
        </w:rPr>
        <w:t xml:space="preserve">specifically </w:t>
      </w:r>
      <w:r w:rsidR="00FD3F48">
        <w:rPr>
          <w:rFonts w:cs="Calibri"/>
          <w:sz w:val="24"/>
          <w:szCs w:val="24"/>
        </w:rPr>
        <w:t>for current year achievements to be compared to objectives</w:t>
      </w:r>
      <w:r w:rsidR="00784268">
        <w:rPr>
          <w:rFonts w:cs="Calibri"/>
          <w:sz w:val="24"/>
          <w:szCs w:val="24"/>
        </w:rPr>
        <w:t xml:space="preserve"> set out in the previous year</w:t>
      </w:r>
      <w:r w:rsidR="00FD3F48">
        <w:rPr>
          <w:rFonts w:cs="Calibri"/>
          <w:sz w:val="24"/>
          <w:szCs w:val="24"/>
        </w:rPr>
        <w:t>.</w:t>
      </w:r>
      <w:r w:rsidR="00784268">
        <w:rPr>
          <w:rFonts w:cs="Calibri"/>
          <w:sz w:val="24"/>
          <w:szCs w:val="24"/>
        </w:rPr>
        <w:t xml:space="preserve">  </w:t>
      </w:r>
    </w:p>
    <w:p w:rsidR="00021137" w:rsidRDefault="00E67C63" w:rsidP="00FD3F48">
      <w:pPr>
        <w:ind w:firstLine="720"/>
        <w:rPr>
          <w:rFonts w:asciiTheme="minorHAnsi" w:eastAsiaTheme="minorHAnsi" w:hAnsiTheme="minorHAnsi" w:cstheme="minorBidi"/>
          <w:sz w:val="24"/>
          <w:szCs w:val="24"/>
        </w:rPr>
      </w:pPr>
      <w:r>
        <w:rPr>
          <w:rFonts w:cs="Calibri"/>
          <w:sz w:val="24"/>
          <w:szCs w:val="24"/>
        </w:rPr>
        <w:t>A</w:t>
      </w:r>
      <w:r w:rsidR="00784268">
        <w:rPr>
          <w:rFonts w:cs="Calibri"/>
          <w:sz w:val="24"/>
          <w:szCs w:val="24"/>
        </w:rPr>
        <w:t xml:space="preserve"> comparison of the SIR</w:t>
      </w:r>
      <w:r w:rsidR="00BE0697">
        <w:rPr>
          <w:rFonts w:cs="Calibri"/>
          <w:sz w:val="24"/>
          <w:szCs w:val="24"/>
        </w:rPr>
        <w:t>s</w:t>
      </w:r>
      <w:r w:rsidR="00784268">
        <w:rPr>
          <w:rFonts w:cs="Calibri"/>
          <w:sz w:val="24"/>
          <w:szCs w:val="24"/>
        </w:rPr>
        <w:t xml:space="preserve"> and TAR</w:t>
      </w:r>
      <w:r w:rsidR="00BE0697">
        <w:rPr>
          <w:rFonts w:cs="Calibri"/>
          <w:sz w:val="24"/>
          <w:szCs w:val="24"/>
        </w:rPr>
        <w:t>s</w:t>
      </w:r>
      <w:r w:rsidR="00784268">
        <w:rPr>
          <w:rFonts w:cs="Calibri"/>
          <w:sz w:val="24"/>
          <w:szCs w:val="24"/>
        </w:rPr>
        <w:t xml:space="preserve"> demonstrates that</w:t>
      </w:r>
      <w:r w:rsidR="00505B22">
        <w:rPr>
          <w:rFonts w:cs="Calibri"/>
          <w:sz w:val="24"/>
          <w:szCs w:val="24"/>
        </w:rPr>
        <w:t>,</w:t>
      </w:r>
      <w:r w:rsidR="00784268">
        <w:rPr>
          <w:rFonts w:cs="Calibri"/>
          <w:sz w:val="24"/>
          <w:szCs w:val="24"/>
        </w:rPr>
        <w:t xml:space="preserve"> while charities have to report their achievements against specific annual objectives in the SIR,</w:t>
      </w:r>
      <w:r w:rsidR="00505B22">
        <w:rPr>
          <w:rFonts w:cs="Calibri"/>
          <w:sz w:val="24"/>
          <w:szCs w:val="24"/>
        </w:rPr>
        <w:t xml:space="preserve"> no detailed objectives for the following year are </w:t>
      </w:r>
      <w:proofErr w:type="gramStart"/>
      <w:r w:rsidR="00505B22">
        <w:rPr>
          <w:rFonts w:cs="Calibri"/>
          <w:sz w:val="24"/>
          <w:szCs w:val="24"/>
        </w:rPr>
        <w:t xml:space="preserve">specified </w:t>
      </w:r>
      <w:r w:rsidR="00784268">
        <w:rPr>
          <w:rFonts w:cs="Calibri"/>
          <w:sz w:val="24"/>
          <w:szCs w:val="24"/>
        </w:rPr>
        <w:t xml:space="preserve"> in</w:t>
      </w:r>
      <w:proofErr w:type="gramEnd"/>
      <w:r w:rsidR="00784268">
        <w:rPr>
          <w:rFonts w:cs="Calibri"/>
          <w:sz w:val="24"/>
          <w:szCs w:val="24"/>
        </w:rPr>
        <w:t xml:space="preserve"> </w:t>
      </w:r>
      <w:r w:rsidR="00505B22">
        <w:rPr>
          <w:rFonts w:cs="Calibri"/>
          <w:sz w:val="24"/>
          <w:szCs w:val="24"/>
        </w:rPr>
        <w:t>nearly 70%</w:t>
      </w:r>
      <w:r w:rsidR="00784268">
        <w:rPr>
          <w:rFonts w:cs="Calibri"/>
          <w:sz w:val="24"/>
          <w:szCs w:val="24"/>
        </w:rPr>
        <w:t xml:space="preserve"> of the TARs.  F</w:t>
      </w:r>
      <w:r w:rsidR="00320528">
        <w:rPr>
          <w:rFonts w:cs="Calibri"/>
          <w:sz w:val="24"/>
          <w:szCs w:val="24"/>
        </w:rPr>
        <w:t xml:space="preserve">ollowing Lord Hodgson’s </w:t>
      </w:r>
      <w:r w:rsidR="00BE0697">
        <w:rPr>
          <w:rFonts w:cs="Calibri"/>
          <w:sz w:val="24"/>
          <w:szCs w:val="24"/>
        </w:rPr>
        <w:t xml:space="preserve">(2012) </w:t>
      </w:r>
      <w:r w:rsidR="00320528">
        <w:rPr>
          <w:rFonts w:cs="Calibri"/>
          <w:sz w:val="24"/>
          <w:szCs w:val="24"/>
        </w:rPr>
        <w:t>report into the Charities’ Act of 2006, the S</w:t>
      </w:r>
      <w:r w:rsidR="00784268">
        <w:rPr>
          <w:rFonts w:cs="Calibri"/>
          <w:sz w:val="24"/>
          <w:szCs w:val="24"/>
        </w:rPr>
        <w:t>IR</w:t>
      </w:r>
      <w:r w:rsidR="00FD3F48">
        <w:rPr>
          <w:rFonts w:cs="Calibri"/>
          <w:sz w:val="24"/>
          <w:szCs w:val="24"/>
        </w:rPr>
        <w:t xml:space="preserve"> </w:t>
      </w:r>
      <w:r w:rsidR="000F76EE">
        <w:rPr>
          <w:rFonts w:cs="Calibri"/>
          <w:sz w:val="24"/>
          <w:szCs w:val="24"/>
        </w:rPr>
        <w:t>is</w:t>
      </w:r>
      <w:r w:rsidR="00F84BF7">
        <w:rPr>
          <w:rFonts w:cs="Calibri"/>
          <w:sz w:val="24"/>
          <w:szCs w:val="24"/>
        </w:rPr>
        <w:t xml:space="preserve"> no longer </w:t>
      </w:r>
      <w:r w:rsidR="00320528">
        <w:rPr>
          <w:rFonts w:cs="Calibri"/>
          <w:sz w:val="24"/>
          <w:szCs w:val="24"/>
        </w:rPr>
        <w:t>required</w:t>
      </w:r>
      <w:r w:rsidR="000F76EE">
        <w:rPr>
          <w:rFonts w:cs="Calibri"/>
          <w:sz w:val="24"/>
          <w:szCs w:val="24"/>
        </w:rPr>
        <w:t>.</w:t>
      </w:r>
      <w:r w:rsidR="00784268">
        <w:rPr>
          <w:rFonts w:cs="Calibri"/>
          <w:sz w:val="24"/>
          <w:szCs w:val="24"/>
        </w:rPr>
        <w:t xml:space="preserve"> While the new </w:t>
      </w:r>
      <w:r w:rsidR="00300DA6">
        <w:rPr>
          <w:rFonts w:cs="Calibri"/>
          <w:sz w:val="24"/>
          <w:szCs w:val="24"/>
        </w:rPr>
        <w:t>Charities SORP (</w:t>
      </w:r>
      <w:r w:rsidR="00784268">
        <w:rPr>
          <w:rFonts w:cs="Calibri"/>
          <w:sz w:val="24"/>
          <w:szCs w:val="24"/>
        </w:rPr>
        <w:t>FRS 102</w:t>
      </w:r>
      <w:r w:rsidR="00300DA6">
        <w:rPr>
          <w:rFonts w:cs="Calibri"/>
          <w:sz w:val="24"/>
          <w:szCs w:val="24"/>
        </w:rPr>
        <w:t>) (Charity Commis</w:t>
      </w:r>
      <w:r w:rsidR="000F76EE">
        <w:rPr>
          <w:rFonts w:cs="Calibri"/>
          <w:sz w:val="24"/>
          <w:szCs w:val="24"/>
        </w:rPr>
        <w:t>s</w:t>
      </w:r>
      <w:r w:rsidR="00300DA6">
        <w:rPr>
          <w:rFonts w:cs="Calibri"/>
          <w:sz w:val="24"/>
          <w:szCs w:val="24"/>
        </w:rPr>
        <w:t>ion, 2015)</w:t>
      </w:r>
      <w:r w:rsidR="00784268">
        <w:rPr>
          <w:rFonts w:cs="Calibri"/>
          <w:sz w:val="24"/>
          <w:szCs w:val="24"/>
        </w:rPr>
        <w:t xml:space="preserve"> lays out reporting of objectives and achievements in </w:t>
      </w:r>
      <w:r>
        <w:rPr>
          <w:rFonts w:cs="Calibri"/>
          <w:sz w:val="24"/>
          <w:szCs w:val="24"/>
        </w:rPr>
        <w:t xml:space="preserve">more </w:t>
      </w:r>
      <w:r w:rsidR="00784268">
        <w:rPr>
          <w:rFonts w:cs="Calibri"/>
          <w:sz w:val="24"/>
          <w:szCs w:val="24"/>
        </w:rPr>
        <w:t>detail</w:t>
      </w:r>
      <w:r>
        <w:rPr>
          <w:rFonts w:cs="Calibri"/>
          <w:sz w:val="24"/>
          <w:szCs w:val="24"/>
        </w:rPr>
        <w:t xml:space="preserve"> than SORP 2005</w:t>
      </w:r>
      <w:r w:rsidR="00784268">
        <w:rPr>
          <w:rFonts w:cs="Calibri"/>
          <w:sz w:val="24"/>
          <w:szCs w:val="24"/>
        </w:rPr>
        <w:t xml:space="preserve">, it </w:t>
      </w:r>
      <w:r w:rsidR="000F76EE">
        <w:rPr>
          <w:rFonts w:cs="Calibri"/>
          <w:sz w:val="24"/>
          <w:szCs w:val="24"/>
        </w:rPr>
        <w:t xml:space="preserve">does not specify that a charity should report its achievements against the specific </w:t>
      </w:r>
      <w:r w:rsidR="00505B22">
        <w:rPr>
          <w:rFonts w:cs="Calibri"/>
          <w:sz w:val="24"/>
          <w:szCs w:val="24"/>
        </w:rPr>
        <w:t xml:space="preserve">annual </w:t>
      </w:r>
      <w:r w:rsidR="000F76EE">
        <w:rPr>
          <w:rFonts w:cs="Calibri"/>
          <w:sz w:val="24"/>
          <w:szCs w:val="24"/>
        </w:rPr>
        <w:t>objectives declared previously</w:t>
      </w:r>
      <w:r>
        <w:rPr>
          <w:rFonts w:cs="Calibri"/>
          <w:sz w:val="24"/>
          <w:szCs w:val="24"/>
        </w:rPr>
        <w:t xml:space="preserve"> by the charity</w:t>
      </w:r>
      <w:r w:rsidR="000F76EE">
        <w:rPr>
          <w:rFonts w:cs="Calibri"/>
          <w:sz w:val="24"/>
          <w:szCs w:val="24"/>
        </w:rPr>
        <w:t xml:space="preserve">. </w:t>
      </w:r>
      <w:r>
        <w:rPr>
          <w:rFonts w:cs="Calibri"/>
          <w:sz w:val="24"/>
          <w:szCs w:val="24"/>
        </w:rPr>
        <w:t>This research suggests that any future regulation shoul</w:t>
      </w:r>
      <w:r w:rsidR="00AF71C2">
        <w:rPr>
          <w:rFonts w:cs="Calibri"/>
          <w:sz w:val="24"/>
          <w:szCs w:val="24"/>
        </w:rPr>
        <w:t>d</w:t>
      </w:r>
      <w:r w:rsidR="000F76EE">
        <w:rPr>
          <w:rFonts w:cs="Calibri"/>
          <w:sz w:val="24"/>
          <w:szCs w:val="24"/>
        </w:rPr>
        <w:t xml:space="preserve"> encourage</w:t>
      </w:r>
      <w:r w:rsidR="00AF71C2">
        <w:rPr>
          <w:rFonts w:cs="Calibri"/>
          <w:sz w:val="24"/>
          <w:szCs w:val="24"/>
        </w:rPr>
        <w:t xml:space="preserve"> char</w:t>
      </w:r>
      <w:r w:rsidR="00D51E48">
        <w:rPr>
          <w:rFonts w:cs="Calibri"/>
          <w:sz w:val="24"/>
          <w:szCs w:val="24"/>
        </w:rPr>
        <w:t>i</w:t>
      </w:r>
      <w:r w:rsidR="00AF71C2">
        <w:rPr>
          <w:rFonts w:cs="Calibri"/>
          <w:sz w:val="24"/>
          <w:szCs w:val="24"/>
        </w:rPr>
        <w:t>t</w:t>
      </w:r>
      <w:r w:rsidR="00505B22">
        <w:rPr>
          <w:rFonts w:cs="Calibri"/>
          <w:sz w:val="24"/>
          <w:szCs w:val="24"/>
        </w:rPr>
        <w:t>i</w:t>
      </w:r>
      <w:r w:rsidR="00AF71C2">
        <w:rPr>
          <w:rFonts w:cs="Calibri"/>
          <w:sz w:val="24"/>
          <w:szCs w:val="24"/>
        </w:rPr>
        <w:t>es to declare specific annual objectives as well as longer term future plans and then report against them in their Trustees’</w:t>
      </w:r>
      <w:r w:rsidR="00D51E48">
        <w:rPr>
          <w:rFonts w:cs="Calibri"/>
          <w:sz w:val="24"/>
          <w:szCs w:val="24"/>
        </w:rPr>
        <w:t xml:space="preserve"> </w:t>
      </w:r>
      <w:r w:rsidR="00AF71C2">
        <w:rPr>
          <w:rFonts w:cs="Calibri"/>
          <w:sz w:val="24"/>
          <w:szCs w:val="24"/>
        </w:rPr>
        <w:t xml:space="preserve">Annual </w:t>
      </w:r>
      <w:r w:rsidR="00D51E48">
        <w:rPr>
          <w:rFonts w:cs="Calibri"/>
          <w:sz w:val="24"/>
          <w:szCs w:val="24"/>
        </w:rPr>
        <w:t>R</w:t>
      </w:r>
      <w:r w:rsidR="00AF71C2">
        <w:rPr>
          <w:rFonts w:cs="Calibri"/>
          <w:sz w:val="24"/>
          <w:szCs w:val="24"/>
        </w:rPr>
        <w:t>eport in the following year.</w:t>
      </w:r>
    </w:p>
    <w:p w:rsidR="00021137" w:rsidRDefault="00021137" w:rsidP="00FD3F48">
      <w:pPr>
        <w:ind w:firstLine="720"/>
        <w:rPr>
          <w:rFonts w:cs="Arial"/>
          <w:sz w:val="24"/>
          <w:szCs w:val="24"/>
          <w:lang w:eastAsia="en-GB"/>
        </w:rPr>
      </w:pPr>
    </w:p>
    <w:p w:rsidR="00003CE1" w:rsidRDefault="00003CE1" w:rsidP="00FD3F48">
      <w:pPr>
        <w:ind w:firstLine="720"/>
        <w:rPr>
          <w:rFonts w:cs="Arial"/>
          <w:sz w:val="24"/>
          <w:szCs w:val="24"/>
          <w:lang w:eastAsia="en-GB"/>
        </w:rPr>
      </w:pPr>
    </w:p>
    <w:p w:rsidR="00003CE1" w:rsidRDefault="00003CE1" w:rsidP="00FD3F48">
      <w:pPr>
        <w:ind w:firstLine="720"/>
        <w:rPr>
          <w:rFonts w:cs="Arial"/>
          <w:sz w:val="24"/>
          <w:szCs w:val="24"/>
          <w:lang w:eastAsia="en-GB"/>
        </w:rPr>
      </w:pPr>
    </w:p>
    <w:p w:rsidR="00003CE1" w:rsidRDefault="00003CE1" w:rsidP="00FD3F48">
      <w:pPr>
        <w:ind w:firstLine="720"/>
        <w:rPr>
          <w:rFonts w:cs="Arial"/>
          <w:sz w:val="24"/>
          <w:szCs w:val="24"/>
          <w:lang w:eastAsia="en-GB"/>
        </w:rPr>
      </w:pPr>
    </w:p>
    <w:p w:rsidR="00003CE1" w:rsidRDefault="00003CE1" w:rsidP="00FD3F48">
      <w:pPr>
        <w:ind w:firstLine="720"/>
        <w:rPr>
          <w:rFonts w:cs="Arial"/>
          <w:sz w:val="24"/>
          <w:szCs w:val="24"/>
          <w:lang w:eastAsia="en-GB"/>
        </w:rPr>
      </w:pPr>
    </w:p>
    <w:p w:rsidR="00003CE1" w:rsidRDefault="00003CE1" w:rsidP="00FD3F48">
      <w:pPr>
        <w:ind w:firstLine="720"/>
        <w:rPr>
          <w:rFonts w:cs="Arial"/>
          <w:sz w:val="24"/>
          <w:szCs w:val="24"/>
          <w:lang w:eastAsia="en-GB"/>
        </w:rPr>
      </w:pPr>
    </w:p>
    <w:p w:rsidR="00003CE1" w:rsidRDefault="00003CE1" w:rsidP="00FD3F48">
      <w:pPr>
        <w:ind w:firstLine="720"/>
        <w:rPr>
          <w:rFonts w:cs="Arial"/>
          <w:sz w:val="24"/>
          <w:szCs w:val="24"/>
          <w:lang w:eastAsia="en-GB"/>
        </w:rPr>
      </w:pPr>
    </w:p>
    <w:p w:rsidR="00003CE1" w:rsidRDefault="00003CE1" w:rsidP="00FD3F48">
      <w:pPr>
        <w:ind w:firstLine="720"/>
        <w:rPr>
          <w:rFonts w:cs="Arial"/>
          <w:sz w:val="24"/>
          <w:szCs w:val="24"/>
          <w:lang w:eastAsia="en-GB"/>
        </w:rPr>
      </w:pPr>
    </w:p>
    <w:p w:rsidR="00021137" w:rsidRDefault="00021137" w:rsidP="00021137">
      <w:pPr>
        <w:autoSpaceDE w:val="0"/>
        <w:autoSpaceDN w:val="0"/>
        <w:adjustRightInd w:val="0"/>
        <w:spacing w:after="0" w:line="240" w:lineRule="auto"/>
        <w:ind w:left="720" w:hanging="720"/>
        <w:rPr>
          <w:rFonts w:ascii="Arial" w:eastAsia="SimSun" w:hAnsi="Arial" w:cs="Arial"/>
          <w:b/>
          <w:sz w:val="24"/>
          <w:szCs w:val="24"/>
          <w:lang w:eastAsia="zh-CN"/>
        </w:rPr>
      </w:pPr>
      <w:r>
        <w:rPr>
          <w:rFonts w:ascii="Arial" w:eastAsia="SimSun" w:hAnsi="Arial" w:cs="Arial"/>
          <w:b/>
          <w:sz w:val="24"/>
          <w:szCs w:val="24"/>
          <w:lang w:eastAsia="zh-CN"/>
        </w:rPr>
        <w:lastRenderedPageBreak/>
        <w:t xml:space="preserve">Reference List </w:t>
      </w:r>
    </w:p>
    <w:p w:rsidR="00021137" w:rsidRDefault="00021137" w:rsidP="00021137">
      <w:pPr>
        <w:autoSpaceDE w:val="0"/>
        <w:autoSpaceDN w:val="0"/>
        <w:adjustRightInd w:val="0"/>
        <w:spacing w:after="0" w:line="240" w:lineRule="auto"/>
        <w:ind w:left="720" w:hanging="720"/>
        <w:rPr>
          <w:rFonts w:ascii="Arial" w:eastAsia="SimSun" w:hAnsi="Arial" w:cs="Arial"/>
          <w:b/>
          <w:sz w:val="24"/>
          <w:szCs w:val="24"/>
          <w:lang w:eastAsia="zh-CN"/>
        </w:rPr>
      </w:pPr>
    </w:p>
    <w:p w:rsidR="00021137" w:rsidRDefault="00021137" w:rsidP="00021137">
      <w:pPr>
        <w:autoSpaceDE w:val="0"/>
        <w:autoSpaceDN w:val="0"/>
        <w:adjustRightInd w:val="0"/>
        <w:spacing w:after="0" w:line="240" w:lineRule="auto"/>
        <w:ind w:left="720" w:hanging="720"/>
        <w:jc w:val="both"/>
        <w:rPr>
          <w:rFonts w:eastAsia="SimSun" w:cs="Arial"/>
          <w:lang w:eastAsia="zh-CN"/>
        </w:rPr>
      </w:pPr>
      <w:proofErr w:type="spellStart"/>
      <w:r w:rsidRPr="002C0A74">
        <w:rPr>
          <w:rFonts w:eastAsia="SimSun" w:cs="Arial"/>
          <w:lang w:eastAsia="zh-CN"/>
        </w:rPr>
        <w:t>Anthony</w:t>
      </w:r>
      <w:proofErr w:type="gramStart"/>
      <w:r w:rsidRPr="002C0A74">
        <w:rPr>
          <w:rFonts w:eastAsia="SimSun" w:cs="Arial"/>
          <w:lang w:eastAsia="zh-CN"/>
        </w:rPr>
        <w:t>,R.N</w:t>
      </w:r>
      <w:proofErr w:type="spellEnd"/>
      <w:proofErr w:type="gramEnd"/>
      <w:r w:rsidRPr="002C0A74">
        <w:rPr>
          <w:rFonts w:eastAsia="SimSun" w:cs="Arial"/>
          <w:lang w:eastAsia="zh-CN"/>
        </w:rPr>
        <w:t xml:space="preserve">. and </w:t>
      </w:r>
      <w:proofErr w:type="spellStart"/>
      <w:r w:rsidRPr="002C0A74">
        <w:rPr>
          <w:rFonts w:eastAsia="SimSun" w:cs="Arial"/>
          <w:lang w:eastAsia="zh-CN"/>
        </w:rPr>
        <w:t>Govindarajan,V</w:t>
      </w:r>
      <w:proofErr w:type="spellEnd"/>
      <w:r w:rsidRPr="002C0A74">
        <w:rPr>
          <w:rFonts w:eastAsia="SimSun" w:cs="Arial"/>
          <w:lang w:eastAsia="zh-CN"/>
        </w:rPr>
        <w:t xml:space="preserve"> (2007) </w:t>
      </w:r>
      <w:r w:rsidRPr="002C0A74">
        <w:rPr>
          <w:rFonts w:eastAsia="SimSun" w:cs="Arial"/>
          <w:i/>
          <w:lang w:eastAsia="zh-CN"/>
        </w:rPr>
        <w:t>Management control systems</w:t>
      </w:r>
      <w:r w:rsidRPr="002C0A74">
        <w:rPr>
          <w:rFonts w:eastAsia="SimSun" w:cs="Arial"/>
          <w:lang w:eastAsia="zh-CN"/>
        </w:rPr>
        <w:t xml:space="preserve"> 12</w:t>
      </w:r>
      <w:r>
        <w:rPr>
          <w:rFonts w:eastAsia="SimSun" w:cs="Arial"/>
          <w:lang w:eastAsia="zh-CN"/>
        </w:rPr>
        <w:t>th</w:t>
      </w:r>
      <w:r w:rsidRPr="002C0A74">
        <w:rPr>
          <w:rFonts w:eastAsia="SimSun" w:cs="Arial"/>
          <w:lang w:eastAsia="zh-CN"/>
        </w:rPr>
        <w:t xml:space="preserve"> </w:t>
      </w:r>
      <w:proofErr w:type="spellStart"/>
      <w:r w:rsidRPr="002C0A74">
        <w:rPr>
          <w:rFonts w:eastAsia="SimSun" w:cs="Arial"/>
          <w:lang w:eastAsia="zh-CN"/>
        </w:rPr>
        <w:t>ed</w:t>
      </w:r>
      <w:proofErr w:type="spellEnd"/>
      <w:r w:rsidRPr="002C0A74">
        <w:rPr>
          <w:rFonts w:eastAsia="SimSun" w:cs="Arial"/>
          <w:lang w:eastAsia="zh-CN"/>
        </w:rPr>
        <w:t xml:space="preserve"> New York: McGraw and Hill</w:t>
      </w:r>
    </w:p>
    <w:p w:rsidR="00021137" w:rsidRPr="002C0A74" w:rsidRDefault="00021137" w:rsidP="00021137">
      <w:pPr>
        <w:autoSpaceDE w:val="0"/>
        <w:autoSpaceDN w:val="0"/>
        <w:adjustRightInd w:val="0"/>
        <w:spacing w:after="0" w:line="240" w:lineRule="auto"/>
        <w:ind w:left="720" w:hanging="720"/>
        <w:jc w:val="both"/>
        <w:rPr>
          <w:rFonts w:eastAsia="SimSun" w:cs="Arial"/>
          <w:lang w:eastAsia="zh-CN"/>
        </w:rPr>
      </w:pPr>
      <w:r w:rsidRPr="002C0A74">
        <w:rPr>
          <w:rFonts w:eastAsia="SimSun" w:cs="Arial"/>
          <w:lang w:eastAsia="zh-CN"/>
        </w:rPr>
        <w:t>Arvidson</w:t>
      </w:r>
      <w:proofErr w:type="gramStart"/>
      <w:r w:rsidRPr="002C0A74">
        <w:rPr>
          <w:rFonts w:eastAsia="SimSun" w:cs="Arial"/>
          <w:lang w:eastAsia="zh-CN"/>
        </w:rPr>
        <w:t>,M</w:t>
      </w:r>
      <w:proofErr w:type="gramEnd"/>
      <w:r w:rsidRPr="002C0A74">
        <w:rPr>
          <w:rFonts w:eastAsia="SimSun" w:cs="Arial"/>
          <w:lang w:eastAsia="zh-CN"/>
        </w:rPr>
        <w:t>.,Lyon,F.,</w:t>
      </w:r>
      <w:proofErr w:type="spellStart"/>
      <w:r w:rsidRPr="002C0A74">
        <w:rPr>
          <w:rFonts w:eastAsia="SimSun" w:cs="Arial"/>
          <w:lang w:eastAsia="zh-CN"/>
        </w:rPr>
        <w:t>McKay,S</w:t>
      </w:r>
      <w:proofErr w:type="spellEnd"/>
      <w:r w:rsidRPr="002C0A74">
        <w:rPr>
          <w:rFonts w:eastAsia="SimSun" w:cs="Arial"/>
          <w:lang w:eastAsia="zh-CN"/>
        </w:rPr>
        <w:t xml:space="preserve"> and </w:t>
      </w:r>
      <w:proofErr w:type="spellStart"/>
      <w:r w:rsidRPr="002C0A74">
        <w:rPr>
          <w:rFonts w:eastAsia="SimSun" w:cs="Arial"/>
          <w:lang w:eastAsia="zh-CN"/>
        </w:rPr>
        <w:t>Moro,D</w:t>
      </w:r>
      <w:proofErr w:type="spellEnd"/>
      <w:r w:rsidRPr="002C0A74">
        <w:rPr>
          <w:rFonts w:eastAsia="SimSun" w:cs="Arial"/>
          <w:lang w:eastAsia="zh-CN"/>
        </w:rPr>
        <w:t xml:space="preserve">.(2010) </w:t>
      </w:r>
      <w:r w:rsidRPr="00C80E25">
        <w:rPr>
          <w:rFonts w:eastAsia="SimSun" w:cs="Arial"/>
          <w:i/>
          <w:lang w:eastAsia="zh-CN"/>
        </w:rPr>
        <w:t>The ambitions and challenges of SROI</w:t>
      </w:r>
      <w:r w:rsidRPr="002C0A74">
        <w:rPr>
          <w:rFonts w:eastAsia="SimSun" w:cs="Arial"/>
          <w:lang w:eastAsia="zh-CN"/>
        </w:rPr>
        <w:t xml:space="preserve">  TSRC Briefing paper No 49, Third Sector Research Centre</w:t>
      </w:r>
    </w:p>
    <w:p w:rsidR="00021137" w:rsidRPr="002C0A74" w:rsidRDefault="00021137" w:rsidP="00021137">
      <w:pPr>
        <w:autoSpaceDE w:val="0"/>
        <w:autoSpaceDN w:val="0"/>
        <w:adjustRightInd w:val="0"/>
        <w:spacing w:after="0" w:line="240" w:lineRule="auto"/>
        <w:ind w:left="720" w:hanging="720"/>
        <w:rPr>
          <w:rFonts w:eastAsia="SimSun" w:cs="Arial"/>
          <w:lang w:eastAsia="zh-CN"/>
        </w:rPr>
      </w:pPr>
      <w:r w:rsidRPr="002C0A74">
        <w:rPr>
          <w:rFonts w:eastAsia="SimSun" w:cs="Arial"/>
          <w:lang w:eastAsia="zh-CN"/>
        </w:rPr>
        <w:t xml:space="preserve">Berry, A.J., </w:t>
      </w:r>
      <w:proofErr w:type="spellStart"/>
      <w:r w:rsidRPr="002C0A74">
        <w:rPr>
          <w:rFonts w:eastAsia="SimSun" w:cs="Arial"/>
          <w:lang w:eastAsia="zh-CN"/>
        </w:rPr>
        <w:t>Broadbent</w:t>
      </w:r>
      <w:proofErr w:type="gramStart"/>
      <w:r w:rsidRPr="002C0A74">
        <w:rPr>
          <w:rFonts w:eastAsia="SimSun" w:cs="Arial"/>
          <w:lang w:eastAsia="zh-CN"/>
        </w:rPr>
        <w:t>,J</w:t>
      </w:r>
      <w:proofErr w:type="spellEnd"/>
      <w:proofErr w:type="gramEnd"/>
      <w:r w:rsidRPr="002C0A74">
        <w:rPr>
          <w:rFonts w:eastAsia="SimSun" w:cs="Arial"/>
          <w:lang w:eastAsia="zh-CN"/>
        </w:rPr>
        <w:t xml:space="preserve">. and </w:t>
      </w:r>
      <w:proofErr w:type="spellStart"/>
      <w:r w:rsidRPr="002C0A74">
        <w:rPr>
          <w:rFonts w:eastAsia="SimSun" w:cs="Arial"/>
          <w:lang w:eastAsia="zh-CN"/>
        </w:rPr>
        <w:t>Otley,D</w:t>
      </w:r>
      <w:proofErr w:type="spellEnd"/>
      <w:r w:rsidRPr="002C0A74">
        <w:rPr>
          <w:rFonts w:eastAsia="SimSun" w:cs="Arial"/>
          <w:lang w:eastAsia="zh-CN"/>
        </w:rPr>
        <w:t>. (2005</w:t>
      </w:r>
      <w:r w:rsidRPr="002C0A74">
        <w:rPr>
          <w:rFonts w:eastAsia="SimSun" w:cs="Arial"/>
          <w:i/>
          <w:lang w:eastAsia="zh-CN"/>
        </w:rPr>
        <w:t>) Management Control: Theories, Issues and Performance</w:t>
      </w:r>
      <w:r w:rsidRPr="002C0A74">
        <w:rPr>
          <w:rFonts w:eastAsia="SimSun" w:cs="Arial"/>
          <w:lang w:eastAsia="zh-CN"/>
        </w:rPr>
        <w:t xml:space="preserve"> 2</w:t>
      </w:r>
      <w:r w:rsidRPr="002C0A74">
        <w:rPr>
          <w:rFonts w:eastAsia="SimSun" w:cs="Arial"/>
          <w:vertAlign w:val="superscript"/>
          <w:lang w:eastAsia="zh-CN"/>
        </w:rPr>
        <w:t>nd</w:t>
      </w:r>
      <w:r w:rsidRPr="002C0A74">
        <w:rPr>
          <w:rFonts w:eastAsia="SimSun" w:cs="Arial"/>
          <w:lang w:eastAsia="zh-CN"/>
        </w:rPr>
        <w:t xml:space="preserve"> </w:t>
      </w:r>
      <w:proofErr w:type="spellStart"/>
      <w:r w:rsidRPr="002C0A74">
        <w:rPr>
          <w:rFonts w:eastAsia="SimSun" w:cs="Arial"/>
          <w:lang w:eastAsia="zh-CN"/>
        </w:rPr>
        <w:t>ed</w:t>
      </w:r>
      <w:proofErr w:type="spellEnd"/>
      <w:r w:rsidRPr="002C0A74">
        <w:rPr>
          <w:rFonts w:eastAsia="SimSun" w:cs="Arial"/>
          <w:lang w:eastAsia="zh-CN"/>
        </w:rPr>
        <w:t xml:space="preserve"> Basingstoke : Palgrave Macmillan </w:t>
      </w:r>
    </w:p>
    <w:p w:rsidR="00021137" w:rsidRPr="002C0A74" w:rsidRDefault="00021137" w:rsidP="00021137">
      <w:pPr>
        <w:autoSpaceDE w:val="0"/>
        <w:autoSpaceDN w:val="0"/>
        <w:adjustRightInd w:val="0"/>
        <w:spacing w:after="0" w:line="240" w:lineRule="auto"/>
        <w:ind w:left="720" w:hanging="720"/>
        <w:rPr>
          <w:rFonts w:eastAsia="SimSun" w:cs="Arial"/>
          <w:lang w:eastAsia="zh-CN"/>
        </w:rPr>
      </w:pPr>
      <w:proofErr w:type="spellStart"/>
      <w:r w:rsidRPr="002C0A74">
        <w:rPr>
          <w:rFonts w:eastAsia="SimSun" w:cs="Arial"/>
          <w:lang w:eastAsia="zh-CN"/>
        </w:rPr>
        <w:t>Bird</w:t>
      </w:r>
      <w:proofErr w:type="gramStart"/>
      <w:r w:rsidRPr="002C0A74">
        <w:rPr>
          <w:rFonts w:eastAsia="SimSun" w:cs="Arial"/>
          <w:lang w:eastAsia="zh-CN"/>
        </w:rPr>
        <w:t>,P</w:t>
      </w:r>
      <w:proofErr w:type="spellEnd"/>
      <w:proofErr w:type="gramEnd"/>
      <w:r w:rsidRPr="002C0A74">
        <w:rPr>
          <w:rFonts w:eastAsia="SimSun" w:cs="Arial"/>
          <w:lang w:eastAsia="zh-CN"/>
        </w:rPr>
        <w:t>. and Morgan-</w:t>
      </w:r>
      <w:proofErr w:type="spellStart"/>
      <w:r w:rsidRPr="002C0A74">
        <w:rPr>
          <w:rFonts w:eastAsia="SimSun" w:cs="Arial"/>
          <w:lang w:eastAsia="zh-CN"/>
        </w:rPr>
        <w:t>Jones,P</w:t>
      </w:r>
      <w:proofErr w:type="spellEnd"/>
      <w:r w:rsidRPr="002C0A74">
        <w:rPr>
          <w:rFonts w:eastAsia="SimSun" w:cs="Arial"/>
          <w:lang w:eastAsia="zh-CN"/>
        </w:rPr>
        <w:t xml:space="preserve">. (1981) </w:t>
      </w:r>
      <w:r w:rsidRPr="00C80E25">
        <w:rPr>
          <w:rFonts w:eastAsia="SimSun" w:cs="Arial"/>
          <w:i/>
          <w:lang w:eastAsia="zh-CN"/>
        </w:rPr>
        <w:t>Financial Reporting by Charities</w:t>
      </w:r>
      <w:r w:rsidRPr="002C0A74">
        <w:rPr>
          <w:rFonts w:eastAsia="SimSun" w:cs="Arial"/>
          <w:lang w:eastAsia="zh-CN"/>
        </w:rPr>
        <w:t xml:space="preserve"> ICAEW London</w:t>
      </w:r>
    </w:p>
    <w:p w:rsidR="00021137" w:rsidRPr="002C0A74" w:rsidRDefault="00021137" w:rsidP="00021137">
      <w:pPr>
        <w:autoSpaceDE w:val="0"/>
        <w:autoSpaceDN w:val="0"/>
        <w:adjustRightInd w:val="0"/>
        <w:spacing w:after="0" w:line="240" w:lineRule="auto"/>
        <w:ind w:left="720" w:hanging="720"/>
        <w:jc w:val="both"/>
      </w:pPr>
      <w:proofErr w:type="spellStart"/>
      <w:r w:rsidRPr="002C0A74">
        <w:t>Bruce</w:t>
      </w:r>
      <w:proofErr w:type="gramStart"/>
      <w:r w:rsidRPr="002C0A74">
        <w:t>,I</w:t>
      </w:r>
      <w:proofErr w:type="spellEnd"/>
      <w:proofErr w:type="gramEnd"/>
      <w:r w:rsidRPr="002C0A74">
        <w:t xml:space="preserve">. and </w:t>
      </w:r>
      <w:proofErr w:type="spellStart"/>
      <w:r w:rsidRPr="002C0A74">
        <w:t>Chew,C</w:t>
      </w:r>
      <w:proofErr w:type="spellEnd"/>
      <w:r w:rsidRPr="002C0A74">
        <w:t xml:space="preserve">. (2011) The marketization of the voluntary sector. </w:t>
      </w:r>
      <w:proofErr w:type="gramStart"/>
      <w:r w:rsidRPr="002C0A74">
        <w:rPr>
          <w:i/>
        </w:rPr>
        <w:t>Public Money and Management</w:t>
      </w:r>
      <w:r w:rsidRPr="002C0A74">
        <w:t>.</w:t>
      </w:r>
      <w:proofErr w:type="gramEnd"/>
      <w:r w:rsidRPr="002C0A74">
        <w:t xml:space="preserve"> May 2011</w:t>
      </w:r>
    </w:p>
    <w:p w:rsidR="00021137" w:rsidRPr="002C0A74" w:rsidRDefault="00021137" w:rsidP="00021137">
      <w:pPr>
        <w:autoSpaceDE w:val="0"/>
        <w:autoSpaceDN w:val="0"/>
        <w:adjustRightInd w:val="0"/>
        <w:spacing w:after="0" w:line="240" w:lineRule="auto"/>
        <w:ind w:left="720" w:hanging="720"/>
      </w:pPr>
      <w:proofErr w:type="spellStart"/>
      <w:r w:rsidRPr="002C0A74">
        <w:rPr>
          <w:rFonts w:eastAsia="SimSun" w:cs="Arial"/>
          <w:lang w:eastAsia="zh-CN"/>
        </w:rPr>
        <w:t>Buckmaster</w:t>
      </w:r>
      <w:proofErr w:type="gramStart"/>
      <w:r w:rsidRPr="002C0A74">
        <w:rPr>
          <w:rFonts w:eastAsia="SimSun" w:cs="Arial"/>
          <w:lang w:eastAsia="zh-CN"/>
        </w:rPr>
        <w:t>,N</w:t>
      </w:r>
      <w:proofErr w:type="spellEnd"/>
      <w:proofErr w:type="gramEnd"/>
      <w:r w:rsidRPr="002C0A74">
        <w:rPr>
          <w:rFonts w:eastAsia="SimSun" w:cs="Arial"/>
          <w:lang w:eastAsia="zh-CN"/>
        </w:rPr>
        <w:t xml:space="preserve">.(1999) Associations between outcome measurement, accountability and learning for non-profit organisations </w:t>
      </w:r>
      <w:r w:rsidRPr="002C0A74">
        <w:rPr>
          <w:rFonts w:eastAsia="SimSun" w:cs="Arial"/>
          <w:i/>
          <w:iCs/>
          <w:lang w:eastAsia="zh-CN"/>
        </w:rPr>
        <w:t>International Journal of Public Sector Management</w:t>
      </w:r>
      <w:r w:rsidRPr="002C0A74">
        <w:rPr>
          <w:rFonts w:eastAsia="SimSun" w:cs="Arial"/>
          <w:lang w:eastAsia="zh-CN"/>
        </w:rPr>
        <w:t xml:space="preserve"> 12 (2) pp186-197</w:t>
      </w:r>
    </w:p>
    <w:p w:rsidR="00D96100" w:rsidRDefault="00D96100" w:rsidP="00D96100">
      <w:pPr>
        <w:autoSpaceDE w:val="0"/>
        <w:autoSpaceDN w:val="0"/>
        <w:adjustRightInd w:val="0"/>
        <w:spacing w:after="0" w:line="240" w:lineRule="auto"/>
        <w:ind w:left="720" w:hanging="720"/>
        <w:rPr>
          <w:rFonts w:eastAsia="Batang" w:cs="Calibri"/>
          <w:lang w:eastAsia="ko-KR"/>
        </w:rPr>
      </w:pPr>
      <w:r>
        <w:rPr>
          <w:rFonts w:eastAsia="Batang" w:cs="Calibri"/>
          <w:lang w:eastAsia="ko-KR"/>
        </w:rPr>
        <w:t xml:space="preserve">Cabinet Office (2002) </w:t>
      </w:r>
      <w:r w:rsidRPr="006E2CD9">
        <w:rPr>
          <w:rFonts w:eastAsia="Batang" w:cs="Calibri"/>
          <w:i/>
          <w:lang w:eastAsia="ko-KR"/>
        </w:rPr>
        <w:t>Private Action, Public Benefit</w:t>
      </w:r>
      <w:r w:rsidRPr="006E2CD9">
        <w:rPr>
          <w:i/>
        </w:rPr>
        <w:t xml:space="preserve"> </w:t>
      </w:r>
      <w:hyperlink r:id="rId11" w:history="1">
        <w:r w:rsidRPr="00F61DCE">
          <w:rPr>
            <w:rStyle w:val="Hyperlink"/>
          </w:rPr>
          <w:t>h</w:t>
        </w:r>
        <w:r w:rsidRPr="00F61DCE">
          <w:rPr>
            <w:rStyle w:val="Hyperlink"/>
            <w:rFonts w:eastAsia="Batang" w:cs="Calibri"/>
            <w:lang w:eastAsia="ko-KR"/>
          </w:rPr>
          <w:t>ttp://www.uk.coop/sites/storage/public/downloads/strat_data.pdf</w:t>
        </w:r>
      </w:hyperlink>
      <w:r>
        <w:rPr>
          <w:rFonts w:eastAsia="Batang" w:cs="Calibri"/>
          <w:lang w:eastAsia="ko-KR"/>
        </w:rPr>
        <w:t xml:space="preserve">  accessed 15 January 2015</w:t>
      </w:r>
    </w:p>
    <w:p w:rsidR="00E57704" w:rsidRPr="00E57704" w:rsidRDefault="00E57704" w:rsidP="00E57704">
      <w:pPr>
        <w:autoSpaceDE w:val="0"/>
        <w:autoSpaceDN w:val="0"/>
        <w:adjustRightInd w:val="0"/>
        <w:spacing w:after="0" w:line="240" w:lineRule="auto"/>
        <w:rPr>
          <w:rFonts w:asciiTheme="minorHAnsi" w:eastAsiaTheme="minorHAnsi" w:hAnsiTheme="minorHAnsi" w:cs="Dax-Bold"/>
          <w:bCs/>
          <w:i/>
        </w:rPr>
      </w:pPr>
      <w:r>
        <w:rPr>
          <w:rFonts w:eastAsia="Batang" w:cs="Calibri"/>
          <w:lang w:eastAsia="ko-KR"/>
        </w:rPr>
        <w:t>Charity Commission</w:t>
      </w:r>
      <w:r w:rsidRPr="002C0A74">
        <w:rPr>
          <w:rFonts w:cs="Calibri"/>
          <w:lang w:eastAsia="ko-KR"/>
        </w:rPr>
        <w:t xml:space="preserve"> </w:t>
      </w:r>
      <w:r>
        <w:rPr>
          <w:rFonts w:cs="Calibri"/>
          <w:lang w:eastAsia="ko-KR"/>
        </w:rPr>
        <w:t xml:space="preserve">(2005) </w:t>
      </w:r>
      <w:r w:rsidRPr="00E57704">
        <w:rPr>
          <w:rFonts w:asciiTheme="minorHAnsi" w:eastAsiaTheme="minorHAnsi" w:hAnsiTheme="minorHAnsi" w:cs="Dax-Bold"/>
          <w:bCs/>
          <w:i/>
        </w:rPr>
        <w:t xml:space="preserve">Accounting </w:t>
      </w:r>
      <w:proofErr w:type="gramStart"/>
      <w:r w:rsidRPr="00E57704">
        <w:rPr>
          <w:rFonts w:asciiTheme="minorHAnsi" w:eastAsiaTheme="minorHAnsi" w:hAnsiTheme="minorHAnsi" w:cs="Dax-Bold"/>
          <w:bCs/>
          <w:i/>
        </w:rPr>
        <w:t>And</w:t>
      </w:r>
      <w:proofErr w:type="gramEnd"/>
      <w:r w:rsidRPr="00E57704">
        <w:rPr>
          <w:rFonts w:asciiTheme="minorHAnsi" w:eastAsiaTheme="minorHAnsi" w:hAnsiTheme="minorHAnsi" w:cs="Dax-Bold"/>
          <w:bCs/>
          <w:i/>
        </w:rPr>
        <w:t xml:space="preserve"> Reporting By Charities:</w:t>
      </w:r>
    </w:p>
    <w:p w:rsidR="00E57704" w:rsidRPr="002C0A74" w:rsidRDefault="00E57704" w:rsidP="00E57704">
      <w:pPr>
        <w:autoSpaceDE w:val="0"/>
        <w:autoSpaceDN w:val="0"/>
        <w:adjustRightInd w:val="0"/>
        <w:spacing w:after="0" w:line="240" w:lineRule="auto"/>
        <w:ind w:left="720"/>
        <w:rPr>
          <w:rFonts w:cs="Calibri"/>
          <w:lang w:eastAsia="ko-KR"/>
        </w:rPr>
      </w:pPr>
      <w:r w:rsidRPr="00E57704">
        <w:rPr>
          <w:rFonts w:asciiTheme="minorHAnsi" w:eastAsiaTheme="minorHAnsi" w:hAnsiTheme="minorHAnsi" w:cs="Dax-Bold"/>
          <w:bCs/>
          <w:i/>
        </w:rPr>
        <w:t xml:space="preserve">Statement </w:t>
      </w:r>
      <w:proofErr w:type="gramStart"/>
      <w:r w:rsidRPr="00E57704">
        <w:rPr>
          <w:rFonts w:asciiTheme="minorHAnsi" w:eastAsiaTheme="minorHAnsi" w:hAnsiTheme="minorHAnsi" w:cs="Dax-Bold"/>
          <w:bCs/>
          <w:i/>
        </w:rPr>
        <w:t>Of</w:t>
      </w:r>
      <w:proofErr w:type="gramEnd"/>
      <w:r w:rsidRPr="00E57704">
        <w:rPr>
          <w:rFonts w:asciiTheme="minorHAnsi" w:eastAsiaTheme="minorHAnsi" w:hAnsiTheme="minorHAnsi" w:cs="Dax-Bold"/>
          <w:bCs/>
          <w:i/>
        </w:rPr>
        <w:t xml:space="preserve"> Recommended Practice</w:t>
      </w:r>
      <w:r>
        <w:rPr>
          <w:rFonts w:asciiTheme="minorHAnsi" w:eastAsiaTheme="minorHAnsi" w:hAnsiTheme="minorHAnsi" w:cs="Dax-Bold"/>
          <w:bCs/>
          <w:i/>
        </w:rPr>
        <w:t xml:space="preserve"> </w:t>
      </w:r>
      <w:r w:rsidRPr="00E57704">
        <w:rPr>
          <w:rFonts w:asciiTheme="minorHAnsi" w:eastAsiaTheme="minorHAnsi" w:hAnsiTheme="minorHAnsi" w:cs="Dax-Bold"/>
          <w:bCs/>
          <w:i/>
        </w:rPr>
        <w:t>(revised 2005)</w:t>
      </w:r>
      <w:r w:rsidRPr="002C0A74">
        <w:rPr>
          <w:rFonts w:cs="Calibri"/>
          <w:lang w:eastAsia="ko-KR"/>
        </w:rPr>
        <w:t xml:space="preserve"> </w:t>
      </w:r>
      <w:hyperlink r:id="rId12" w:history="1">
        <w:r w:rsidRPr="007D1971">
          <w:rPr>
            <w:rStyle w:val="Hyperlink"/>
            <w:rFonts w:cs="Calibri"/>
            <w:lang w:eastAsia="ko-KR"/>
          </w:rPr>
          <w:t>http://www.charity-commission.gov.uk/library/guidance/sorp05text.pdf</w:t>
        </w:r>
      </w:hyperlink>
      <w:r w:rsidRPr="002C0A74">
        <w:rPr>
          <w:rFonts w:cs="Calibri"/>
          <w:lang w:eastAsia="ko-KR"/>
        </w:rPr>
        <w:t xml:space="preserve"> accessed 24th March 2013</w:t>
      </w:r>
    </w:p>
    <w:p w:rsidR="006E2CD9" w:rsidRDefault="006E2CD9" w:rsidP="00D96100">
      <w:pPr>
        <w:autoSpaceDE w:val="0"/>
        <w:autoSpaceDN w:val="0"/>
        <w:adjustRightInd w:val="0"/>
        <w:spacing w:after="0" w:line="240" w:lineRule="auto"/>
        <w:ind w:left="720" w:hanging="720"/>
        <w:rPr>
          <w:rFonts w:eastAsia="Batang" w:cs="Calibri"/>
          <w:lang w:eastAsia="ko-KR"/>
        </w:rPr>
      </w:pPr>
      <w:r>
        <w:rPr>
          <w:rFonts w:eastAsia="Batang" w:cs="Calibri"/>
          <w:lang w:eastAsia="ko-KR"/>
        </w:rPr>
        <w:t xml:space="preserve">Charity </w:t>
      </w:r>
      <w:proofErr w:type="gramStart"/>
      <w:r>
        <w:rPr>
          <w:rFonts w:eastAsia="Batang" w:cs="Calibri"/>
          <w:lang w:eastAsia="ko-KR"/>
        </w:rPr>
        <w:t>Commission(</w:t>
      </w:r>
      <w:proofErr w:type="gramEnd"/>
      <w:r>
        <w:rPr>
          <w:rFonts w:eastAsia="Batang" w:cs="Calibri"/>
          <w:lang w:eastAsia="ko-KR"/>
        </w:rPr>
        <w:t xml:space="preserve"> 2006) </w:t>
      </w:r>
      <w:r w:rsidRPr="006E2CD9">
        <w:rPr>
          <w:rFonts w:eastAsia="Batang" w:cs="Calibri"/>
          <w:i/>
          <w:lang w:eastAsia="ko-KR"/>
        </w:rPr>
        <w:t>In their own words</w:t>
      </w:r>
      <w:r w:rsidRPr="006E2CD9">
        <w:t xml:space="preserve"> </w:t>
      </w:r>
      <w:hyperlink r:id="rId13" w:history="1">
        <w:r w:rsidRPr="00F61DCE">
          <w:rPr>
            <w:rStyle w:val="Hyperlink"/>
            <w:rFonts w:eastAsia="Batang" w:cs="Calibri"/>
            <w:lang w:eastAsia="ko-KR"/>
          </w:rPr>
          <w:t>https://www.gov.uk/government/uploads/system/uploads/attachment_data/file/284720/rs14text.pdf</w:t>
        </w:r>
      </w:hyperlink>
      <w:r>
        <w:rPr>
          <w:rFonts w:eastAsia="Batang" w:cs="Calibri"/>
          <w:lang w:eastAsia="ko-KR"/>
        </w:rPr>
        <w:t xml:space="preserve"> </w:t>
      </w:r>
      <w:r>
        <w:t xml:space="preserve">accessed: </w:t>
      </w:r>
      <w:r>
        <w:rPr>
          <w:rFonts w:eastAsia="Batang" w:cs="Calibri"/>
          <w:lang w:eastAsia="ko-KR"/>
        </w:rPr>
        <w:t>15 January 2015</w:t>
      </w:r>
    </w:p>
    <w:p w:rsidR="00300DA6" w:rsidRPr="00E72DD2" w:rsidRDefault="00300DA6" w:rsidP="00D96100">
      <w:pPr>
        <w:autoSpaceDE w:val="0"/>
        <w:autoSpaceDN w:val="0"/>
        <w:adjustRightInd w:val="0"/>
        <w:spacing w:after="0" w:line="240" w:lineRule="auto"/>
        <w:ind w:left="720" w:hanging="720"/>
        <w:rPr>
          <w:rFonts w:eastAsia="SimSun" w:cs="Calibri"/>
          <w:lang w:eastAsia="zh-CN"/>
        </w:rPr>
      </w:pPr>
      <w:r>
        <w:rPr>
          <w:rFonts w:eastAsia="SimSun" w:cs="Calibri"/>
          <w:lang w:eastAsia="zh-CN"/>
        </w:rPr>
        <w:t xml:space="preserve">Charity Commission (2015) Charities SORP (FRS102) </w:t>
      </w:r>
      <w:hyperlink r:id="rId14" w:history="1">
        <w:r w:rsidRPr="007D1971">
          <w:rPr>
            <w:rStyle w:val="Hyperlink"/>
            <w:rFonts w:eastAsia="SimSun" w:cs="Calibri"/>
            <w:lang w:eastAsia="zh-CN"/>
          </w:rPr>
          <w:t>http://www.charitysorp.org/media/619101/frs102_complete.pdf</w:t>
        </w:r>
      </w:hyperlink>
      <w:r>
        <w:rPr>
          <w:rFonts w:eastAsia="SimSun" w:cs="Calibri"/>
          <w:lang w:eastAsia="zh-CN"/>
        </w:rPr>
        <w:t xml:space="preserve"> accessed 9th February 2015</w:t>
      </w:r>
    </w:p>
    <w:p w:rsidR="00021137" w:rsidRPr="002C0A74" w:rsidRDefault="00021137" w:rsidP="00021137">
      <w:pPr>
        <w:autoSpaceDE w:val="0"/>
        <w:autoSpaceDN w:val="0"/>
        <w:adjustRightInd w:val="0"/>
        <w:spacing w:after="0" w:line="240" w:lineRule="auto"/>
        <w:ind w:left="720" w:hanging="720"/>
        <w:rPr>
          <w:rFonts w:eastAsia="Batang" w:cs="Calibri"/>
          <w:lang w:eastAsia="ko-KR"/>
        </w:rPr>
      </w:pPr>
      <w:proofErr w:type="spellStart"/>
      <w:r w:rsidRPr="002C0A74">
        <w:rPr>
          <w:rFonts w:eastAsia="Batang" w:cs="Calibri"/>
          <w:lang w:eastAsia="ko-KR"/>
        </w:rPr>
        <w:t>Chenhall</w:t>
      </w:r>
      <w:proofErr w:type="gramStart"/>
      <w:r w:rsidRPr="002C0A74">
        <w:rPr>
          <w:rFonts w:eastAsia="Batang" w:cs="Calibri"/>
          <w:lang w:eastAsia="ko-KR"/>
        </w:rPr>
        <w:t>,R.H</w:t>
      </w:r>
      <w:proofErr w:type="spellEnd"/>
      <w:proofErr w:type="gramEnd"/>
      <w:r w:rsidRPr="002C0A74">
        <w:rPr>
          <w:rFonts w:eastAsia="Batang" w:cs="Calibri"/>
          <w:lang w:eastAsia="ko-KR"/>
        </w:rPr>
        <w:t xml:space="preserve">.(2005) Integrative strategic performance measurement systems, strategic alignment of manufacturing, learning and strategy outcomes </w:t>
      </w:r>
      <w:r w:rsidRPr="002C0A74">
        <w:rPr>
          <w:rFonts w:eastAsia="Batang" w:cs="Calibri"/>
          <w:i/>
          <w:lang w:eastAsia="ko-KR"/>
        </w:rPr>
        <w:t>Accounting, Organisations and Society</w:t>
      </w:r>
      <w:r w:rsidRPr="002C0A74">
        <w:rPr>
          <w:rFonts w:eastAsia="Batang" w:cs="Calibri"/>
          <w:lang w:eastAsia="ko-KR"/>
        </w:rPr>
        <w:t xml:space="preserve"> 28 p</w:t>
      </w:r>
      <w:r>
        <w:rPr>
          <w:rFonts w:eastAsia="Batang" w:cs="Calibri"/>
          <w:lang w:eastAsia="ko-KR"/>
        </w:rPr>
        <w:t>p</w:t>
      </w:r>
      <w:r w:rsidRPr="002C0A74">
        <w:rPr>
          <w:rFonts w:eastAsia="Batang" w:cs="Calibri"/>
          <w:lang w:eastAsia="ko-KR"/>
        </w:rPr>
        <w:t>395-432</w:t>
      </w:r>
    </w:p>
    <w:p w:rsidR="00021137" w:rsidRPr="002C0A74" w:rsidRDefault="00021137" w:rsidP="00021137">
      <w:pPr>
        <w:autoSpaceDE w:val="0"/>
        <w:autoSpaceDN w:val="0"/>
        <w:adjustRightInd w:val="0"/>
        <w:spacing w:after="0" w:line="240" w:lineRule="auto"/>
        <w:rPr>
          <w:rFonts w:eastAsia="Batang" w:cs="Arial"/>
          <w:i/>
          <w:iCs/>
          <w:lang w:eastAsia="en-GB"/>
        </w:rPr>
      </w:pPr>
      <w:proofErr w:type="gramStart"/>
      <w:r w:rsidRPr="002C0A74">
        <w:rPr>
          <w:rFonts w:eastAsia="Batang" w:cs="Arial"/>
          <w:lang w:eastAsia="en-GB"/>
        </w:rPr>
        <w:t>Connolly, C. and Dhanani, A. (2009).</w:t>
      </w:r>
      <w:proofErr w:type="gramEnd"/>
      <w:r w:rsidRPr="002C0A74">
        <w:rPr>
          <w:rFonts w:eastAsia="Batang" w:cs="Arial"/>
          <w:lang w:eastAsia="en-GB"/>
        </w:rPr>
        <w:t xml:space="preserve"> </w:t>
      </w:r>
      <w:r w:rsidRPr="002C0A74">
        <w:rPr>
          <w:rFonts w:eastAsia="Batang" w:cs="Arial"/>
          <w:i/>
          <w:iCs/>
          <w:lang w:eastAsia="en-GB"/>
        </w:rPr>
        <w:t xml:space="preserve">Research Report 109: Narrative Reporting by </w:t>
      </w:r>
    </w:p>
    <w:p w:rsidR="00021137" w:rsidRPr="002C0A74" w:rsidRDefault="00021137" w:rsidP="00021137">
      <w:pPr>
        <w:autoSpaceDE w:val="0"/>
        <w:autoSpaceDN w:val="0"/>
        <w:adjustRightInd w:val="0"/>
        <w:spacing w:after="0" w:line="240" w:lineRule="auto"/>
        <w:ind w:firstLine="720"/>
        <w:rPr>
          <w:rFonts w:eastAsia="Batang" w:cs="Arial"/>
          <w:lang w:eastAsia="en-GB"/>
        </w:rPr>
      </w:pPr>
      <w:r w:rsidRPr="002C0A74">
        <w:rPr>
          <w:rFonts w:eastAsia="Batang" w:cs="Arial"/>
          <w:i/>
          <w:iCs/>
          <w:lang w:eastAsia="en-GB"/>
        </w:rPr>
        <w:t>UK Charities</w:t>
      </w:r>
      <w:r w:rsidRPr="002C0A74">
        <w:rPr>
          <w:rFonts w:eastAsia="Batang" w:cs="Arial"/>
          <w:lang w:eastAsia="en-GB"/>
        </w:rPr>
        <w:t>,</w:t>
      </w:r>
      <w:r>
        <w:rPr>
          <w:rFonts w:eastAsia="Batang" w:cs="Arial"/>
          <w:lang w:eastAsia="en-GB"/>
        </w:rPr>
        <w:t xml:space="preserve"> </w:t>
      </w:r>
      <w:r w:rsidRPr="002C0A74">
        <w:rPr>
          <w:rFonts w:eastAsia="Batang" w:cs="Arial"/>
          <w:lang w:eastAsia="en-GB"/>
        </w:rPr>
        <w:t>London: Association of Chartered Certified Accountants.</w:t>
      </w:r>
    </w:p>
    <w:p w:rsidR="00021137" w:rsidRDefault="00021137" w:rsidP="00021137">
      <w:pPr>
        <w:autoSpaceDE w:val="0"/>
        <w:autoSpaceDN w:val="0"/>
        <w:adjustRightInd w:val="0"/>
        <w:spacing w:after="0" w:line="240" w:lineRule="auto"/>
      </w:pPr>
      <w:proofErr w:type="spellStart"/>
      <w:r w:rsidRPr="002C0A74">
        <w:t>Connolly</w:t>
      </w:r>
      <w:proofErr w:type="gramStart"/>
      <w:r w:rsidRPr="002C0A74">
        <w:t>,C</w:t>
      </w:r>
      <w:proofErr w:type="spellEnd"/>
      <w:proofErr w:type="gramEnd"/>
      <w:r w:rsidRPr="002C0A74">
        <w:t xml:space="preserve">., </w:t>
      </w:r>
      <w:proofErr w:type="spellStart"/>
      <w:r w:rsidRPr="002C0A74">
        <w:t>Dhanani,A</w:t>
      </w:r>
      <w:proofErr w:type="spellEnd"/>
      <w:r w:rsidRPr="002C0A74">
        <w:t>. and Hyndman, H.(2013</w:t>
      </w:r>
      <w:r w:rsidR="00DE5379">
        <w:t>b</w:t>
      </w:r>
      <w:r w:rsidRPr="002C0A74">
        <w:t xml:space="preserve">) The Accountability Mechanisms and Needs of </w:t>
      </w:r>
    </w:p>
    <w:p w:rsidR="00021137" w:rsidRDefault="00021137" w:rsidP="00021137">
      <w:pPr>
        <w:autoSpaceDE w:val="0"/>
        <w:autoSpaceDN w:val="0"/>
        <w:adjustRightInd w:val="0"/>
        <w:spacing w:after="0" w:line="240" w:lineRule="auto"/>
        <w:ind w:firstLine="720"/>
        <w:rPr>
          <w:rFonts w:eastAsia="Batang" w:cs="Arial"/>
          <w:lang w:eastAsia="en-GB"/>
        </w:rPr>
      </w:pPr>
      <w:r w:rsidRPr="002C0A74">
        <w:t xml:space="preserve">External Charity Stakeholders </w:t>
      </w:r>
      <w:r w:rsidRPr="002C0A74">
        <w:rPr>
          <w:rFonts w:eastAsia="Batang" w:cs="Arial"/>
          <w:lang w:eastAsia="en-GB"/>
        </w:rPr>
        <w:t>London: Association of Chartered Certified Accountants.</w:t>
      </w:r>
    </w:p>
    <w:p w:rsidR="00021137" w:rsidRPr="002C0A74" w:rsidRDefault="003C72C3" w:rsidP="003C72C3">
      <w:pPr>
        <w:autoSpaceDE w:val="0"/>
        <w:autoSpaceDN w:val="0"/>
        <w:adjustRightInd w:val="0"/>
        <w:spacing w:after="0" w:line="240" w:lineRule="auto"/>
        <w:rPr>
          <w:rFonts w:cs="Arial"/>
          <w:i/>
        </w:rPr>
      </w:pPr>
      <w:proofErr w:type="spellStart"/>
      <w:r>
        <w:t>Con</w:t>
      </w:r>
      <w:r w:rsidR="00021137" w:rsidRPr="002C0A74">
        <w:rPr>
          <w:rFonts w:cs="Arial"/>
        </w:rPr>
        <w:t>nolly</w:t>
      </w:r>
      <w:proofErr w:type="gramStart"/>
      <w:r w:rsidR="00021137" w:rsidRPr="002C0A74">
        <w:rPr>
          <w:rFonts w:cs="Arial"/>
        </w:rPr>
        <w:t>,C</w:t>
      </w:r>
      <w:proofErr w:type="spellEnd"/>
      <w:proofErr w:type="gramEnd"/>
      <w:r w:rsidR="00021137" w:rsidRPr="002C0A74">
        <w:rPr>
          <w:rFonts w:cs="Arial"/>
        </w:rPr>
        <w:t xml:space="preserve">. and Hyndman, N. (2003) </w:t>
      </w:r>
      <w:r w:rsidR="00021137" w:rsidRPr="002C0A74">
        <w:rPr>
          <w:rFonts w:cs="Arial"/>
          <w:i/>
        </w:rPr>
        <w:t xml:space="preserve">Performance reporting by UK Charities </w:t>
      </w:r>
    </w:p>
    <w:p w:rsidR="00021137" w:rsidRDefault="00021137" w:rsidP="00021137">
      <w:pPr>
        <w:spacing w:after="0" w:line="240" w:lineRule="auto"/>
        <w:ind w:left="720"/>
        <w:jc w:val="both"/>
      </w:pPr>
      <w:r w:rsidRPr="002C0A74">
        <w:t xml:space="preserve">Edinburgh: Institute of Chartered Accountants in Scotland </w:t>
      </w:r>
    </w:p>
    <w:p w:rsidR="003C72C3" w:rsidRDefault="003C72C3" w:rsidP="003C72C3">
      <w:pPr>
        <w:autoSpaceDE w:val="0"/>
        <w:autoSpaceDN w:val="0"/>
        <w:adjustRightInd w:val="0"/>
        <w:spacing w:after="0" w:line="240" w:lineRule="auto"/>
        <w:rPr>
          <w:rFonts w:cs="Arial"/>
        </w:rPr>
      </w:pPr>
      <w:proofErr w:type="spellStart"/>
      <w:r>
        <w:t>Con</w:t>
      </w:r>
      <w:r w:rsidRPr="002C0A74">
        <w:rPr>
          <w:rFonts w:cs="Arial"/>
        </w:rPr>
        <w:t>nolly</w:t>
      </w:r>
      <w:proofErr w:type="gramStart"/>
      <w:r w:rsidRPr="002C0A74">
        <w:rPr>
          <w:rFonts w:cs="Arial"/>
        </w:rPr>
        <w:t>,C</w:t>
      </w:r>
      <w:proofErr w:type="spellEnd"/>
      <w:proofErr w:type="gramEnd"/>
      <w:r w:rsidRPr="002C0A74">
        <w:rPr>
          <w:rFonts w:cs="Arial"/>
        </w:rPr>
        <w:t>. and Hyndman, N. (20</w:t>
      </w:r>
      <w:r>
        <w:rPr>
          <w:rFonts w:cs="Arial"/>
        </w:rPr>
        <w:t>1</w:t>
      </w:r>
      <w:r w:rsidRPr="002C0A74">
        <w:rPr>
          <w:rFonts w:cs="Arial"/>
        </w:rPr>
        <w:t>3</w:t>
      </w:r>
      <w:r w:rsidR="00D17F3D">
        <w:rPr>
          <w:rFonts w:cs="Arial"/>
        </w:rPr>
        <w:t>a</w:t>
      </w:r>
      <w:r w:rsidRPr="002C0A74">
        <w:rPr>
          <w:rFonts w:cs="Arial"/>
        </w:rPr>
        <w:t xml:space="preserve">) </w:t>
      </w:r>
      <w:r>
        <w:rPr>
          <w:rFonts w:cs="Arial"/>
        </w:rPr>
        <w:t xml:space="preserve"> Toward Charity Accountability Narrowing the gap between </w:t>
      </w:r>
    </w:p>
    <w:p w:rsidR="003C72C3" w:rsidRDefault="003C72C3" w:rsidP="003C72C3">
      <w:pPr>
        <w:autoSpaceDE w:val="0"/>
        <w:autoSpaceDN w:val="0"/>
        <w:adjustRightInd w:val="0"/>
        <w:spacing w:after="0" w:line="240" w:lineRule="auto"/>
        <w:ind w:firstLine="720"/>
        <w:rPr>
          <w:rFonts w:cs="Arial"/>
        </w:rPr>
      </w:pPr>
      <w:proofErr w:type="gramStart"/>
      <w:r>
        <w:rPr>
          <w:rFonts w:cs="Arial"/>
        </w:rPr>
        <w:t>provision</w:t>
      </w:r>
      <w:proofErr w:type="gramEnd"/>
      <w:r>
        <w:rPr>
          <w:rFonts w:cs="Arial"/>
        </w:rPr>
        <w:t xml:space="preserve"> and needs?  </w:t>
      </w:r>
      <w:r w:rsidRPr="003C72C3">
        <w:rPr>
          <w:rFonts w:cs="Arial"/>
          <w:i/>
        </w:rPr>
        <w:t xml:space="preserve">Public Management </w:t>
      </w:r>
      <w:proofErr w:type="gramStart"/>
      <w:r w:rsidRPr="003C72C3">
        <w:rPr>
          <w:rFonts w:cs="Arial"/>
          <w:i/>
        </w:rPr>
        <w:t>Review</w:t>
      </w:r>
      <w:r>
        <w:rPr>
          <w:rFonts w:cs="Arial"/>
        </w:rPr>
        <w:t xml:space="preserve">  15</w:t>
      </w:r>
      <w:proofErr w:type="gramEnd"/>
      <w:r>
        <w:rPr>
          <w:rFonts w:cs="Arial"/>
        </w:rPr>
        <w:t xml:space="preserve"> (7) pp 945-968</w:t>
      </w:r>
    </w:p>
    <w:p w:rsidR="00D17F3D" w:rsidRDefault="00D17F3D" w:rsidP="00D17F3D">
      <w:pPr>
        <w:autoSpaceDE w:val="0"/>
        <w:autoSpaceDN w:val="0"/>
        <w:adjustRightInd w:val="0"/>
        <w:spacing w:after="0" w:line="240" w:lineRule="auto"/>
        <w:rPr>
          <w:rFonts w:cs="Arial"/>
        </w:rPr>
      </w:pPr>
      <w:proofErr w:type="spellStart"/>
      <w:r>
        <w:t>Con</w:t>
      </w:r>
      <w:r w:rsidRPr="002C0A74">
        <w:rPr>
          <w:rFonts w:cs="Arial"/>
        </w:rPr>
        <w:t>nolly</w:t>
      </w:r>
      <w:proofErr w:type="gramStart"/>
      <w:r w:rsidRPr="002C0A74">
        <w:rPr>
          <w:rFonts w:cs="Arial"/>
        </w:rPr>
        <w:t>,C</w:t>
      </w:r>
      <w:proofErr w:type="spellEnd"/>
      <w:proofErr w:type="gramEnd"/>
      <w:r w:rsidRPr="002C0A74">
        <w:rPr>
          <w:rFonts w:cs="Arial"/>
        </w:rPr>
        <w:t>. and Hyndman, N. (20</w:t>
      </w:r>
      <w:r>
        <w:rPr>
          <w:rFonts w:cs="Arial"/>
        </w:rPr>
        <w:t>1</w:t>
      </w:r>
      <w:r w:rsidRPr="002C0A74">
        <w:rPr>
          <w:rFonts w:cs="Arial"/>
        </w:rPr>
        <w:t>3</w:t>
      </w:r>
      <w:r>
        <w:rPr>
          <w:rFonts w:cs="Arial"/>
        </w:rPr>
        <w:t>b</w:t>
      </w:r>
      <w:r w:rsidRPr="002C0A74">
        <w:rPr>
          <w:rFonts w:cs="Arial"/>
        </w:rPr>
        <w:t xml:space="preserve">) </w:t>
      </w:r>
      <w:r>
        <w:rPr>
          <w:rFonts w:cs="Arial"/>
        </w:rPr>
        <w:t xml:space="preserve">Charity Accountability in the UK: through the eyes of the </w:t>
      </w:r>
    </w:p>
    <w:p w:rsidR="00D17F3D" w:rsidRPr="002C0A74" w:rsidRDefault="00D17F3D" w:rsidP="003C72C3">
      <w:pPr>
        <w:autoSpaceDE w:val="0"/>
        <w:autoSpaceDN w:val="0"/>
        <w:adjustRightInd w:val="0"/>
        <w:spacing w:after="0" w:line="240" w:lineRule="auto"/>
        <w:ind w:firstLine="720"/>
      </w:pPr>
      <w:proofErr w:type="gramStart"/>
      <w:r>
        <w:rPr>
          <w:rFonts w:cs="Arial"/>
        </w:rPr>
        <w:t>donor</w:t>
      </w:r>
      <w:proofErr w:type="gramEnd"/>
      <w:r>
        <w:rPr>
          <w:rFonts w:cs="Arial"/>
        </w:rPr>
        <w:t xml:space="preserve">. </w:t>
      </w:r>
      <w:r w:rsidRPr="00D17F3D">
        <w:rPr>
          <w:rFonts w:cs="Arial"/>
          <w:i/>
        </w:rPr>
        <w:t xml:space="preserve">Qualitative Research in Accounting and </w:t>
      </w:r>
      <w:proofErr w:type="gramStart"/>
      <w:r w:rsidRPr="00D17F3D">
        <w:rPr>
          <w:rFonts w:cs="Arial"/>
          <w:i/>
        </w:rPr>
        <w:t>Management</w:t>
      </w:r>
      <w:r>
        <w:rPr>
          <w:rFonts w:cs="Arial"/>
        </w:rPr>
        <w:t xml:space="preserve">  Vol</w:t>
      </w:r>
      <w:proofErr w:type="gramEnd"/>
      <w:r>
        <w:rPr>
          <w:rFonts w:cs="Arial"/>
        </w:rPr>
        <w:t xml:space="preserve"> 10 3 /4 pp259-278</w:t>
      </w:r>
    </w:p>
    <w:p w:rsidR="00DE5379" w:rsidRDefault="00DE5379" w:rsidP="00DE5379">
      <w:pPr>
        <w:autoSpaceDE w:val="0"/>
        <w:autoSpaceDN w:val="0"/>
        <w:adjustRightInd w:val="0"/>
        <w:spacing w:after="0" w:line="240" w:lineRule="auto"/>
      </w:pPr>
      <w:proofErr w:type="spellStart"/>
      <w:r>
        <w:t>Connolly</w:t>
      </w:r>
      <w:proofErr w:type="gramStart"/>
      <w:r>
        <w:t>,C</w:t>
      </w:r>
      <w:proofErr w:type="spellEnd"/>
      <w:proofErr w:type="gramEnd"/>
      <w:r>
        <w:t xml:space="preserve">., </w:t>
      </w:r>
      <w:r w:rsidRPr="002C0A74">
        <w:t xml:space="preserve"> Hyndman, H.</w:t>
      </w:r>
      <w:r>
        <w:t xml:space="preserve"> and </w:t>
      </w:r>
      <w:proofErr w:type="spellStart"/>
      <w:r>
        <w:t>McConville</w:t>
      </w:r>
      <w:proofErr w:type="spellEnd"/>
      <w:r>
        <w:t>, D.</w:t>
      </w:r>
      <w:r w:rsidRPr="002C0A74">
        <w:t>(2013</w:t>
      </w:r>
      <w:r>
        <w:t>a</w:t>
      </w:r>
      <w:r w:rsidRPr="002C0A74">
        <w:t xml:space="preserve">) </w:t>
      </w:r>
      <w:r>
        <w:t xml:space="preserve">UK charity accounting: An exercise in widening </w:t>
      </w:r>
    </w:p>
    <w:p w:rsidR="00DE5379" w:rsidRDefault="00DE5379" w:rsidP="00DE5379">
      <w:pPr>
        <w:autoSpaceDE w:val="0"/>
        <w:autoSpaceDN w:val="0"/>
        <w:adjustRightInd w:val="0"/>
        <w:spacing w:after="0" w:line="240" w:lineRule="auto"/>
        <w:ind w:firstLine="720"/>
      </w:pPr>
      <w:proofErr w:type="gramStart"/>
      <w:r>
        <w:t>stakeholder</w:t>
      </w:r>
      <w:proofErr w:type="gramEnd"/>
      <w:r>
        <w:t xml:space="preserve"> engagement </w:t>
      </w:r>
      <w:r w:rsidRPr="003C72C3">
        <w:rPr>
          <w:i/>
        </w:rPr>
        <w:t>The British Accou</w:t>
      </w:r>
      <w:r>
        <w:rPr>
          <w:i/>
        </w:rPr>
        <w:t>n</w:t>
      </w:r>
      <w:r w:rsidRPr="003C72C3">
        <w:rPr>
          <w:i/>
        </w:rPr>
        <w:t>ting Review</w:t>
      </w:r>
      <w:r>
        <w:t xml:space="preserve"> 45 pp58-69</w:t>
      </w:r>
    </w:p>
    <w:p w:rsidR="00021137" w:rsidRPr="002C0A74" w:rsidRDefault="00021137" w:rsidP="00021137">
      <w:pPr>
        <w:autoSpaceDE w:val="0"/>
        <w:autoSpaceDN w:val="0"/>
        <w:adjustRightInd w:val="0"/>
        <w:spacing w:after="0" w:line="240" w:lineRule="auto"/>
        <w:ind w:left="720" w:hanging="720"/>
        <w:rPr>
          <w:rFonts w:eastAsia="Batang" w:cs="Arial"/>
          <w:lang w:eastAsia="ko-KR"/>
        </w:rPr>
      </w:pPr>
      <w:r w:rsidRPr="002C0A74">
        <w:rPr>
          <w:rFonts w:eastAsia="Batang" w:cs="Arial"/>
          <w:lang w:eastAsia="ko-KR"/>
        </w:rPr>
        <w:t xml:space="preserve">Connolly, C., Hyndman, N. and </w:t>
      </w:r>
      <w:proofErr w:type="spellStart"/>
      <w:r w:rsidRPr="002C0A74">
        <w:rPr>
          <w:rFonts w:eastAsia="Batang" w:cs="Arial"/>
          <w:lang w:eastAsia="ko-KR"/>
        </w:rPr>
        <w:t>McMahon</w:t>
      </w:r>
      <w:proofErr w:type="gramStart"/>
      <w:r w:rsidRPr="002C0A74">
        <w:rPr>
          <w:rFonts w:eastAsia="Batang" w:cs="Arial"/>
          <w:lang w:eastAsia="ko-KR"/>
        </w:rPr>
        <w:t>,D</w:t>
      </w:r>
      <w:proofErr w:type="spellEnd"/>
      <w:proofErr w:type="gramEnd"/>
      <w:r w:rsidRPr="002C0A74">
        <w:rPr>
          <w:rFonts w:eastAsia="Batang" w:cs="Arial"/>
          <w:lang w:eastAsia="ko-KR"/>
        </w:rPr>
        <w:t xml:space="preserve">.(2012) </w:t>
      </w:r>
      <w:r w:rsidRPr="002C0A74">
        <w:rPr>
          <w:rFonts w:eastAsia="Batang" w:cs="Arial"/>
          <w:i/>
          <w:lang w:eastAsia="ko-KR"/>
        </w:rPr>
        <w:t xml:space="preserve">Charity Reporting and accounting: A Chance to Shape the Future </w:t>
      </w:r>
      <w:r w:rsidRPr="002C0A74">
        <w:rPr>
          <w:rFonts w:eastAsia="Batang" w:cs="Arial"/>
          <w:lang w:eastAsia="ko-KR"/>
        </w:rPr>
        <w:t xml:space="preserve">Charity Commission </w:t>
      </w:r>
    </w:p>
    <w:p w:rsidR="00021137" w:rsidRPr="002C0A74" w:rsidRDefault="00021137" w:rsidP="00021137">
      <w:pPr>
        <w:spacing w:after="0" w:line="240" w:lineRule="auto"/>
        <w:ind w:left="284" w:hanging="284"/>
        <w:jc w:val="both"/>
        <w:rPr>
          <w:i/>
        </w:rPr>
      </w:pPr>
      <w:r w:rsidRPr="002C0A74">
        <w:t xml:space="preserve">Crawford L., Dunne, T., Hannah, G. and </w:t>
      </w:r>
      <w:proofErr w:type="spellStart"/>
      <w:r w:rsidRPr="002C0A74">
        <w:t>Stevenson</w:t>
      </w:r>
      <w:proofErr w:type="gramStart"/>
      <w:r w:rsidRPr="002C0A74">
        <w:t>,L</w:t>
      </w:r>
      <w:proofErr w:type="spellEnd"/>
      <w:proofErr w:type="gramEnd"/>
      <w:r w:rsidRPr="002C0A74">
        <w:t xml:space="preserve">. (2009) </w:t>
      </w:r>
      <w:r w:rsidRPr="002C0A74">
        <w:rPr>
          <w:i/>
        </w:rPr>
        <w:t xml:space="preserve">An Exploration of </w:t>
      </w:r>
    </w:p>
    <w:p w:rsidR="00021137" w:rsidRPr="002C0A74" w:rsidRDefault="00021137" w:rsidP="00021137">
      <w:pPr>
        <w:spacing w:after="0" w:line="240" w:lineRule="auto"/>
        <w:ind w:left="720" w:hanging="284"/>
        <w:jc w:val="both"/>
        <w:rPr>
          <w:rFonts w:eastAsia="SimSun" w:cs="Arial"/>
          <w:lang w:eastAsia="zh-CN"/>
        </w:rPr>
      </w:pPr>
      <w:r w:rsidRPr="002C0A74">
        <w:rPr>
          <w:i/>
        </w:rPr>
        <w:t xml:space="preserve">    </w:t>
      </w:r>
      <w:proofErr w:type="gramStart"/>
      <w:r w:rsidRPr="002C0A74">
        <w:rPr>
          <w:i/>
        </w:rPr>
        <w:t>Scottish Charities' Governance and Accountability.</w:t>
      </w:r>
      <w:proofErr w:type="gramEnd"/>
      <w:r w:rsidRPr="002C0A74">
        <w:t xml:space="preserve"> Edinburgh: Institute of Chartered Accountants in Scotland </w:t>
      </w:r>
    </w:p>
    <w:p w:rsidR="00021137" w:rsidRDefault="00021137" w:rsidP="00021137">
      <w:pPr>
        <w:autoSpaceDE w:val="0"/>
        <w:autoSpaceDN w:val="0"/>
        <w:adjustRightInd w:val="0"/>
        <w:spacing w:after="0" w:line="240" w:lineRule="auto"/>
        <w:rPr>
          <w:rFonts w:cs="Arial"/>
        </w:rPr>
      </w:pPr>
      <w:r w:rsidRPr="002C0A74">
        <w:rPr>
          <w:rFonts w:eastAsia="Batang" w:cs="Arial"/>
          <w:lang w:eastAsia="en-GB"/>
        </w:rPr>
        <w:t xml:space="preserve">Dhanani, A. </w:t>
      </w:r>
      <w:r>
        <w:rPr>
          <w:rFonts w:eastAsia="Batang" w:cs="Arial"/>
          <w:lang w:eastAsia="en-GB"/>
        </w:rPr>
        <w:t xml:space="preserve">and </w:t>
      </w:r>
      <w:proofErr w:type="spellStart"/>
      <w:r>
        <w:rPr>
          <w:rFonts w:eastAsia="Batang" w:cs="Arial"/>
          <w:lang w:eastAsia="en-GB"/>
        </w:rPr>
        <w:t>Connolly</w:t>
      </w:r>
      <w:proofErr w:type="gramStart"/>
      <w:r>
        <w:rPr>
          <w:rFonts w:eastAsia="Batang" w:cs="Arial"/>
          <w:lang w:eastAsia="en-GB"/>
        </w:rPr>
        <w:t>,C</w:t>
      </w:r>
      <w:proofErr w:type="spellEnd"/>
      <w:proofErr w:type="gramEnd"/>
      <w:r>
        <w:rPr>
          <w:rFonts w:eastAsia="Batang" w:cs="Arial"/>
          <w:lang w:eastAsia="en-GB"/>
        </w:rPr>
        <w:t>.</w:t>
      </w:r>
      <w:r w:rsidRPr="002C0A74">
        <w:rPr>
          <w:rFonts w:eastAsia="Batang" w:cs="Arial"/>
          <w:lang w:eastAsia="en-GB"/>
        </w:rPr>
        <w:t>(20</w:t>
      </w:r>
      <w:r>
        <w:rPr>
          <w:rFonts w:eastAsia="Batang" w:cs="Arial"/>
          <w:lang w:eastAsia="en-GB"/>
        </w:rPr>
        <w:t>12</w:t>
      </w:r>
      <w:r w:rsidRPr="00FE7A28">
        <w:rPr>
          <w:rFonts w:eastAsia="Batang" w:cs="Arial"/>
          <w:lang w:eastAsia="en-GB"/>
        </w:rPr>
        <w:t>)</w:t>
      </w:r>
      <w:r w:rsidRPr="00FE7A28">
        <w:rPr>
          <w:rFonts w:cs="Arial"/>
        </w:rPr>
        <w:t xml:space="preserve">Discharging not-for-profit accountability: UK charities and </w:t>
      </w:r>
    </w:p>
    <w:p w:rsidR="00021137" w:rsidRPr="002C0A74" w:rsidRDefault="00021137" w:rsidP="00021137">
      <w:pPr>
        <w:autoSpaceDE w:val="0"/>
        <w:autoSpaceDN w:val="0"/>
        <w:adjustRightInd w:val="0"/>
        <w:spacing w:after="0" w:line="240" w:lineRule="auto"/>
        <w:ind w:left="720"/>
        <w:rPr>
          <w:rFonts w:eastAsia="Batang" w:cs="Arial"/>
          <w:lang w:eastAsia="en-GB"/>
        </w:rPr>
      </w:pPr>
      <w:proofErr w:type="gramStart"/>
      <w:r w:rsidRPr="00FE7A28">
        <w:rPr>
          <w:rFonts w:cs="Arial"/>
        </w:rPr>
        <w:t>public</w:t>
      </w:r>
      <w:proofErr w:type="gramEnd"/>
      <w:r w:rsidRPr="00FE7A28">
        <w:rPr>
          <w:rFonts w:cs="Arial"/>
        </w:rPr>
        <w:t xml:space="preserve"> discourse, Accounting, Auditing &amp; Accountability Journal, Vol. 25 </w:t>
      </w:r>
      <w:proofErr w:type="spellStart"/>
      <w:r w:rsidRPr="00FE7A28">
        <w:rPr>
          <w:rFonts w:cs="Arial"/>
        </w:rPr>
        <w:t>Iss</w:t>
      </w:r>
      <w:proofErr w:type="spellEnd"/>
      <w:r w:rsidRPr="00FE7A28">
        <w:rPr>
          <w:rFonts w:cs="Arial"/>
        </w:rPr>
        <w:t xml:space="preserve">: 7, pp.1140 - </w:t>
      </w:r>
    </w:p>
    <w:p w:rsidR="00021137" w:rsidRPr="002C0A74" w:rsidRDefault="00021137" w:rsidP="00021137">
      <w:pPr>
        <w:autoSpaceDE w:val="0"/>
        <w:autoSpaceDN w:val="0"/>
        <w:adjustRightInd w:val="0"/>
        <w:spacing w:after="0" w:line="240" w:lineRule="auto"/>
        <w:ind w:left="720" w:hanging="720"/>
        <w:rPr>
          <w:rFonts w:eastAsia="Batang" w:cs="Arial"/>
          <w:lang w:eastAsia="ko-KR"/>
        </w:rPr>
      </w:pPr>
      <w:r w:rsidRPr="002C0A74">
        <w:rPr>
          <w:rFonts w:eastAsia="Batang" w:cs="Arial"/>
          <w:lang w:eastAsia="ko-KR"/>
        </w:rPr>
        <w:t>Emmanuel</w:t>
      </w:r>
      <w:proofErr w:type="gramStart"/>
      <w:r w:rsidRPr="002C0A74">
        <w:rPr>
          <w:rFonts w:eastAsia="Batang" w:cs="Arial"/>
          <w:lang w:eastAsia="ko-KR"/>
        </w:rPr>
        <w:t>,C</w:t>
      </w:r>
      <w:proofErr w:type="gramEnd"/>
      <w:r w:rsidRPr="002C0A74">
        <w:rPr>
          <w:rFonts w:eastAsia="Batang" w:cs="Arial"/>
          <w:lang w:eastAsia="ko-KR"/>
        </w:rPr>
        <w:t>.,</w:t>
      </w:r>
      <w:proofErr w:type="spellStart"/>
      <w:r w:rsidRPr="002C0A74">
        <w:rPr>
          <w:rFonts w:eastAsia="Batang" w:cs="Arial"/>
          <w:lang w:eastAsia="ko-KR"/>
        </w:rPr>
        <w:t>Otley,D</w:t>
      </w:r>
      <w:proofErr w:type="spellEnd"/>
      <w:r w:rsidRPr="002C0A74">
        <w:rPr>
          <w:rFonts w:eastAsia="Batang" w:cs="Arial"/>
          <w:lang w:eastAsia="ko-KR"/>
        </w:rPr>
        <w:t xml:space="preserve">. and </w:t>
      </w:r>
      <w:proofErr w:type="spellStart"/>
      <w:r w:rsidRPr="002C0A74">
        <w:rPr>
          <w:rFonts w:eastAsia="Batang" w:cs="Arial"/>
          <w:lang w:eastAsia="ko-KR"/>
        </w:rPr>
        <w:t>Merchant,K</w:t>
      </w:r>
      <w:proofErr w:type="spellEnd"/>
      <w:r w:rsidRPr="002C0A74">
        <w:rPr>
          <w:rFonts w:eastAsia="Batang" w:cs="Arial"/>
          <w:lang w:eastAsia="ko-KR"/>
        </w:rPr>
        <w:t xml:space="preserve"> (1990) 2</w:t>
      </w:r>
      <w:r w:rsidRPr="002C0A74">
        <w:rPr>
          <w:rFonts w:eastAsia="Batang" w:cs="Arial"/>
          <w:vertAlign w:val="superscript"/>
          <w:lang w:eastAsia="ko-KR"/>
        </w:rPr>
        <w:t>nd</w:t>
      </w:r>
      <w:r w:rsidRPr="002C0A74">
        <w:rPr>
          <w:rFonts w:eastAsia="Batang" w:cs="Arial"/>
          <w:lang w:eastAsia="ko-KR"/>
        </w:rPr>
        <w:t xml:space="preserve"> edition</w:t>
      </w:r>
      <w:r w:rsidRPr="002C0A74">
        <w:rPr>
          <w:rFonts w:eastAsia="Batang" w:cs="Arial"/>
          <w:i/>
          <w:lang w:eastAsia="ko-KR"/>
        </w:rPr>
        <w:t xml:space="preserve">. Accounting for Management Control </w:t>
      </w:r>
      <w:proofErr w:type="gramStart"/>
      <w:r w:rsidRPr="002C0A74">
        <w:rPr>
          <w:rFonts w:eastAsia="Batang" w:cs="Arial"/>
          <w:lang w:eastAsia="ko-KR"/>
        </w:rPr>
        <w:t>London :</w:t>
      </w:r>
      <w:proofErr w:type="gramEnd"/>
      <w:r w:rsidRPr="002C0A74">
        <w:rPr>
          <w:rFonts w:eastAsia="Batang" w:cs="Arial"/>
          <w:lang w:eastAsia="ko-KR"/>
        </w:rPr>
        <w:t xml:space="preserve"> Chapman and Hall </w:t>
      </w:r>
    </w:p>
    <w:p w:rsidR="00021137" w:rsidRDefault="00021137" w:rsidP="00021137">
      <w:pPr>
        <w:spacing w:line="360" w:lineRule="auto"/>
        <w:rPr>
          <w:rStyle w:val="Hyperlink"/>
        </w:rPr>
      </w:pPr>
      <w:r w:rsidRPr="002C0A74">
        <w:t xml:space="preserve">End of Life </w:t>
      </w:r>
      <w:r w:rsidR="00DE5379">
        <w:t xml:space="preserve">Care </w:t>
      </w:r>
      <w:r w:rsidRPr="002C0A74">
        <w:t xml:space="preserve">Strategy (2008) Department of </w:t>
      </w:r>
      <w:proofErr w:type="gramStart"/>
      <w:r w:rsidRPr="002C0A74">
        <w:t xml:space="preserve">Health  </w:t>
      </w:r>
      <w:proofErr w:type="gramEnd"/>
      <w:r w:rsidR="00E50D12">
        <w:fldChar w:fldCharType="begin"/>
      </w:r>
      <w:r w:rsidR="00E50D12">
        <w:instrText xml:space="preserve"> HYPERLINK "http://www.dh.gov.uk/publications" </w:instrText>
      </w:r>
      <w:r w:rsidR="00E50D12">
        <w:fldChar w:fldCharType="separate"/>
      </w:r>
      <w:r w:rsidRPr="00B261B1">
        <w:rPr>
          <w:rStyle w:val="Hyperlink"/>
        </w:rPr>
        <w:t>www.dh.gov.uk/publications</w:t>
      </w:r>
      <w:r w:rsidR="00E50D12">
        <w:rPr>
          <w:rStyle w:val="Hyperlink"/>
        </w:rPr>
        <w:fldChar w:fldCharType="end"/>
      </w:r>
    </w:p>
    <w:p w:rsidR="00021137" w:rsidRPr="002C0A74" w:rsidRDefault="00021137" w:rsidP="00021137">
      <w:pPr>
        <w:spacing w:line="360" w:lineRule="auto"/>
        <w:rPr>
          <w:rFonts w:eastAsia="Batang" w:cs="Calibri"/>
          <w:lang w:eastAsia="ko-KR"/>
        </w:rPr>
      </w:pPr>
      <w:proofErr w:type="spellStart"/>
      <w:r w:rsidRPr="002C0A74">
        <w:rPr>
          <w:rFonts w:eastAsia="Batang" w:cs="Calibri"/>
          <w:lang w:eastAsia="ko-KR"/>
        </w:rPr>
        <w:lastRenderedPageBreak/>
        <w:t>Epstein</w:t>
      </w:r>
      <w:proofErr w:type="gramStart"/>
      <w:r w:rsidRPr="002C0A74">
        <w:rPr>
          <w:rFonts w:eastAsia="Batang" w:cs="Calibri"/>
          <w:lang w:eastAsia="ko-KR"/>
        </w:rPr>
        <w:t>,M.J</w:t>
      </w:r>
      <w:proofErr w:type="spellEnd"/>
      <w:proofErr w:type="gramEnd"/>
      <w:r w:rsidRPr="002C0A74">
        <w:rPr>
          <w:rFonts w:eastAsia="Batang" w:cs="Calibri"/>
          <w:lang w:eastAsia="ko-KR"/>
        </w:rPr>
        <w:t xml:space="preserve">. and </w:t>
      </w:r>
      <w:proofErr w:type="spellStart"/>
      <w:r w:rsidRPr="002C0A74">
        <w:rPr>
          <w:rFonts w:eastAsia="Batang" w:cs="Calibri"/>
          <w:lang w:eastAsia="ko-KR"/>
        </w:rPr>
        <w:t>Buhovac,A.R</w:t>
      </w:r>
      <w:proofErr w:type="spellEnd"/>
      <w:r w:rsidRPr="002C0A74">
        <w:rPr>
          <w:rFonts w:eastAsia="Batang" w:cs="Calibri"/>
          <w:lang w:eastAsia="ko-KR"/>
        </w:rPr>
        <w:t xml:space="preserve">. (2009) Improving Performance Measurement Not-for-Profit Organizations  </w:t>
      </w:r>
      <w:r w:rsidRPr="002C0A74">
        <w:rPr>
          <w:rFonts w:eastAsia="Batang" w:cs="Calibri"/>
          <w:i/>
          <w:lang w:eastAsia="ko-KR"/>
        </w:rPr>
        <w:t>CMA Management</w:t>
      </w:r>
      <w:r w:rsidRPr="002C0A74">
        <w:rPr>
          <w:rFonts w:eastAsia="Batang" w:cs="Calibri"/>
          <w:lang w:eastAsia="ko-KR"/>
        </w:rPr>
        <w:t xml:space="preserve"> 16 p17-21</w:t>
      </w:r>
    </w:p>
    <w:p w:rsidR="00021137" w:rsidRDefault="00021137" w:rsidP="00021137">
      <w:pPr>
        <w:autoSpaceDE w:val="0"/>
        <w:autoSpaceDN w:val="0"/>
        <w:adjustRightInd w:val="0"/>
        <w:spacing w:after="0" w:line="240" w:lineRule="auto"/>
        <w:ind w:left="720" w:hanging="720"/>
        <w:rPr>
          <w:rFonts w:eastAsia="Batang" w:cs="Arial"/>
          <w:lang w:eastAsia="ko-KR"/>
        </w:rPr>
      </w:pPr>
      <w:proofErr w:type="gramStart"/>
      <w:r w:rsidRPr="002C0A74">
        <w:rPr>
          <w:rFonts w:eastAsia="Batang" w:cs="Arial"/>
          <w:lang w:eastAsia="ko-KR"/>
        </w:rPr>
        <w:t>Ferreira, A. and Otley, D. (2009).</w:t>
      </w:r>
      <w:proofErr w:type="gramEnd"/>
      <w:r w:rsidRPr="002C0A74">
        <w:rPr>
          <w:rFonts w:eastAsia="Batang" w:cs="Arial"/>
          <w:lang w:eastAsia="ko-KR"/>
        </w:rPr>
        <w:t xml:space="preserve"> The design and use of performance management systems: An extended framework for analysis. </w:t>
      </w:r>
      <w:r w:rsidRPr="002C0A74">
        <w:rPr>
          <w:rFonts w:eastAsia="Batang" w:cs="Arial"/>
          <w:i/>
          <w:iCs/>
          <w:lang w:eastAsia="ko-KR"/>
        </w:rPr>
        <w:t xml:space="preserve">Management Accounting Research </w:t>
      </w:r>
      <w:proofErr w:type="gramStart"/>
      <w:r w:rsidRPr="002C0A74">
        <w:rPr>
          <w:rFonts w:eastAsia="Batang" w:cs="Arial"/>
          <w:iCs/>
          <w:lang w:eastAsia="ko-KR"/>
        </w:rPr>
        <w:t>Vol</w:t>
      </w:r>
      <w:r w:rsidRPr="002C0A74">
        <w:rPr>
          <w:rFonts w:eastAsia="Batang" w:cs="Arial"/>
          <w:i/>
          <w:iCs/>
          <w:lang w:eastAsia="ko-KR"/>
        </w:rPr>
        <w:t xml:space="preserve"> </w:t>
      </w:r>
      <w:r w:rsidRPr="002C0A74">
        <w:rPr>
          <w:rFonts w:eastAsia="Batang" w:cs="Arial"/>
          <w:lang w:eastAsia="ko-KR"/>
        </w:rPr>
        <w:t xml:space="preserve"> 20</w:t>
      </w:r>
      <w:proofErr w:type="gramEnd"/>
      <w:r w:rsidRPr="002C0A74">
        <w:rPr>
          <w:rFonts w:eastAsia="Batang" w:cs="Arial"/>
          <w:lang w:eastAsia="ko-KR"/>
        </w:rPr>
        <w:t xml:space="preserve"> (4), pp263-282</w:t>
      </w:r>
    </w:p>
    <w:p w:rsidR="00021137" w:rsidRPr="002C0A74" w:rsidRDefault="00021137" w:rsidP="00021137">
      <w:pPr>
        <w:spacing w:after="0" w:line="360" w:lineRule="auto"/>
        <w:rPr>
          <w:rFonts w:eastAsia="Batang" w:cs="Arial"/>
          <w:lang w:eastAsia="ko-KR"/>
        </w:rPr>
      </w:pPr>
      <w:r w:rsidRPr="002C0A74">
        <w:rPr>
          <w:rFonts w:eastAsia="Batang" w:cs="Arial"/>
          <w:lang w:eastAsia="ko-KR"/>
        </w:rPr>
        <w:t xml:space="preserve">Help the </w:t>
      </w:r>
      <w:proofErr w:type="gramStart"/>
      <w:r w:rsidRPr="002C0A74">
        <w:rPr>
          <w:rFonts w:eastAsia="Batang" w:cs="Arial"/>
          <w:lang w:eastAsia="ko-KR"/>
        </w:rPr>
        <w:t>Hospices(</w:t>
      </w:r>
      <w:proofErr w:type="gramEnd"/>
      <w:r w:rsidRPr="002C0A74">
        <w:rPr>
          <w:rFonts w:eastAsia="Batang" w:cs="Arial"/>
          <w:lang w:eastAsia="ko-KR"/>
        </w:rPr>
        <w:t xml:space="preserve">2013) </w:t>
      </w:r>
      <w:hyperlink r:id="rId15" w:history="1">
        <w:r w:rsidRPr="002C0A74">
          <w:rPr>
            <w:color w:val="0000FF"/>
            <w:u w:val="single"/>
          </w:rPr>
          <w:t>http://www.helpthehospices.org.uk/</w:t>
        </w:r>
        <w:r w:rsidRPr="002C0A74">
          <w:t xml:space="preserve">  accessed</w:t>
        </w:r>
      </w:hyperlink>
      <w:r w:rsidRPr="002C0A74">
        <w:t xml:space="preserve"> 2</w:t>
      </w:r>
      <w:r w:rsidRPr="002C0A74">
        <w:rPr>
          <w:vertAlign w:val="superscript"/>
        </w:rPr>
        <w:t>nd</w:t>
      </w:r>
      <w:r w:rsidRPr="002C0A74">
        <w:t xml:space="preserve"> August 2</w:t>
      </w:r>
      <w:r>
        <w:t>0</w:t>
      </w:r>
      <w:r w:rsidRPr="002C0A74">
        <w:t>13</w:t>
      </w:r>
    </w:p>
    <w:p w:rsidR="00021137" w:rsidRPr="002C0A74" w:rsidRDefault="00021137" w:rsidP="00021137">
      <w:pPr>
        <w:spacing w:after="0" w:line="360" w:lineRule="auto"/>
        <w:rPr>
          <w:rFonts w:eastAsia="Batang" w:cs="Arial"/>
          <w:lang w:eastAsia="ko-KR"/>
        </w:rPr>
      </w:pPr>
      <w:r w:rsidRPr="002C0A74">
        <w:rPr>
          <w:rFonts w:eastAsia="Batang" w:cs="Arial"/>
          <w:lang w:eastAsia="ko-KR"/>
        </w:rPr>
        <w:t xml:space="preserve">Help the </w:t>
      </w:r>
      <w:proofErr w:type="gramStart"/>
      <w:r w:rsidRPr="002C0A74">
        <w:rPr>
          <w:rFonts w:eastAsia="Batang" w:cs="Arial"/>
          <w:lang w:eastAsia="ko-KR"/>
        </w:rPr>
        <w:t>Hospices(</w:t>
      </w:r>
      <w:proofErr w:type="gramEnd"/>
      <w:r w:rsidRPr="002C0A74">
        <w:rPr>
          <w:rFonts w:eastAsia="Batang" w:cs="Arial"/>
          <w:lang w:eastAsia="ko-KR"/>
        </w:rPr>
        <w:t>201</w:t>
      </w:r>
      <w:r>
        <w:rPr>
          <w:rFonts w:eastAsia="Batang" w:cs="Arial"/>
          <w:lang w:eastAsia="ko-KR"/>
        </w:rPr>
        <w:t>0</w:t>
      </w:r>
      <w:r w:rsidRPr="002C0A74">
        <w:rPr>
          <w:rFonts w:eastAsia="Batang" w:cs="Arial"/>
          <w:lang w:eastAsia="ko-KR"/>
        </w:rPr>
        <w:t xml:space="preserve">) </w:t>
      </w:r>
      <w:hyperlink r:id="rId16" w:history="1">
        <w:r w:rsidRPr="002C0A74">
          <w:rPr>
            <w:color w:val="0000FF"/>
            <w:u w:val="single"/>
          </w:rPr>
          <w:t>http://www.helpthehospices.org.uk/</w:t>
        </w:r>
        <w:r w:rsidRPr="002C0A74">
          <w:t xml:space="preserve">  accessed</w:t>
        </w:r>
      </w:hyperlink>
      <w:r>
        <w:t xml:space="preserve"> 4</w:t>
      </w:r>
      <w:r w:rsidRPr="00681D8B">
        <w:rPr>
          <w:vertAlign w:val="superscript"/>
        </w:rPr>
        <w:t>th</w:t>
      </w:r>
      <w:r>
        <w:t xml:space="preserve"> November 2011</w:t>
      </w:r>
    </w:p>
    <w:p w:rsidR="00021137" w:rsidRPr="002C0A74" w:rsidRDefault="00021137" w:rsidP="00021137">
      <w:pPr>
        <w:autoSpaceDE w:val="0"/>
        <w:autoSpaceDN w:val="0"/>
        <w:adjustRightInd w:val="0"/>
        <w:spacing w:after="0" w:line="240" w:lineRule="auto"/>
        <w:ind w:left="720" w:hanging="720"/>
        <w:rPr>
          <w:rFonts w:eastAsia="Batang" w:cs="Arial"/>
          <w:lang w:eastAsia="ko-KR"/>
        </w:rPr>
      </w:pPr>
      <w:r w:rsidRPr="002C0A74">
        <w:rPr>
          <w:rFonts w:eastAsia="Batang" w:cs="Arial"/>
          <w:lang w:eastAsia="ko-KR"/>
        </w:rPr>
        <w:t>Henderson, D. A., Chase, B. W. and Woodson, B. M. (2002</w:t>
      </w:r>
      <w:r>
        <w:rPr>
          <w:rFonts w:eastAsia="Batang" w:cs="Arial"/>
          <w:lang w:eastAsia="ko-KR"/>
        </w:rPr>
        <w:t>)</w:t>
      </w:r>
      <w:r w:rsidRPr="002C0A74">
        <w:rPr>
          <w:rFonts w:eastAsia="Batang" w:cs="Arial"/>
          <w:lang w:eastAsia="ko-KR"/>
        </w:rPr>
        <w:t xml:space="preserve"> Performance Measures for NPOs. </w:t>
      </w:r>
      <w:proofErr w:type="gramStart"/>
      <w:r w:rsidRPr="002C0A74">
        <w:rPr>
          <w:rFonts w:eastAsia="Batang" w:cs="Arial"/>
          <w:i/>
          <w:iCs/>
          <w:lang w:eastAsia="ko-KR"/>
        </w:rPr>
        <w:t>Journal of Accountancy</w:t>
      </w:r>
      <w:r w:rsidRPr="002C0A74">
        <w:rPr>
          <w:rFonts w:eastAsia="Batang" w:cs="Arial"/>
          <w:lang w:eastAsia="ko-KR"/>
        </w:rPr>
        <w:t xml:space="preserve"> 193 (1), pp63-68.</w:t>
      </w:r>
      <w:proofErr w:type="gramEnd"/>
    </w:p>
    <w:p w:rsidR="003822B8" w:rsidRPr="002C0A74" w:rsidRDefault="003822B8" w:rsidP="00021137">
      <w:pPr>
        <w:autoSpaceDE w:val="0"/>
        <w:autoSpaceDN w:val="0"/>
        <w:adjustRightInd w:val="0"/>
        <w:spacing w:after="0" w:line="240" w:lineRule="auto"/>
        <w:ind w:left="720" w:hanging="720"/>
        <w:rPr>
          <w:rFonts w:eastAsia="Batang" w:cs="Arial"/>
          <w:lang w:eastAsia="ko-KR"/>
        </w:rPr>
      </w:pPr>
      <w:proofErr w:type="spellStart"/>
      <w:r>
        <w:rPr>
          <w:rFonts w:cs="Arial"/>
        </w:rPr>
        <w:t>Hodgson</w:t>
      </w:r>
      <w:proofErr w:type="gramStart"/>
      <w:r>
        <w:rPr>
          <w:rFonts w:cs="Arial"/>
        </w:rPr>
        <w:t>,</w:t>
      </w:r>
      <w:r w:rsidR="00D96100">
        <w:rPr>
          <w:rFonts w:cs="Arial"/>
        </w:rPr>
        <w:t>R</w:t>
      </w:r>
      <w:proofErr w:type="spellEnd"/>
      <w:proofErr w:type="gramEnd"/>
      <w:r w:rsidR="00D96100">
        <w:rPr>
          <w:rFonts w:cs="Arial"/>
        </w:rPr>
        <w:t xml:space="preserve">. </w:t>
      </w:r>
      <w:r>
        <w:rPr>
          <w:rFonts w:cs="Arial"/>
        </w:rPr>
        <w:t xml:space="preserve"> (2012)</w:t>
      </w:r>
      <w:r w:rsidR="00D96100" w:rsidRPr="00D96100">
        <w:rPr>
          <w:lang w:val="en"/>
        </w:rPr>
        <w:t xml:space="preserve"> </w:t>
      </w:r>
      <w:hyperlink r:id="rId17" w:history="1">
        <w:r w:rsidR="00D96100" w:rsidRPr="006E2CD9">
          <w:rPr>
            <w:i/>
            <w:lang w:val="en"/>
          </w:rPr>
          <w:t>Trusted and independent: giving charity back to charities - review of the Charities Act 2006</w:t>
        </w:r>
      </w:hyperlink>
      <w:r w:rsidR="00D96100">
        <w:rPr>
          <w:lang w:val="en"/>
        </w:rPr>
        <w:t xml:space="preserve"> </w:t>
      </w:r>
      <w:hyperlink r:id="rId18" w:history="1">
        <w:r w:rsidR="00D96100" w:rsidRPr="00F61DCE">
          <w:rPr>
            <w:rStyle w:val="Hyperlink"/>
            <w:lang w:val="en"/>
          </w:rPr>
          <w:t>https://www.gov.uk/government/consultations/charities-act-2006-review</w:t>
        </w:r>
      </w:hyperlink>
      <w:r w:rsidR="00D96100">
        <w:rPr>
          <w:lang w:val="en"/>
        </w:rPr>
        <w:t xml:space="preserve"> accessed 15 January 2015</w:t>
      </w:r>
    </w:p>
    <w:p w:rsidR="000F76EE" w:rsidRDefault="000F76EE" w:rsidP="000F76EE">
      <w:pPr>
        <w:autoSpaceDE w:val="0"/>
        <w:autoSpaceDN w:val="0"/>
        <w:adjustRightInd w:val="0"/>
        <w:spacing w:after="0" w:line="240" w:lineRule="auto"/>
        <w:rPr>
          <w:rFonts w:asciiTheme="minorHAnsi" w:eastAsiaTheme="minorHAnsi" w:hAnsiTheme="minorHAnsi" w:cs="Arial"/>
          <w:iCs/>
        </w:rPr>
      </w:pPr>
      <w:r w:rsidRPr="000F76EE">
        <w:rPr>
          <w:rFonts w:asciiTheme="minorHAnsi" w:eastAsiaTheme="minorHAnsi" w:hAnsiTheme="minorHAnsi" w:cs="Arial"/>
          <w:iCs/>
        </w:rPr>
        <w:t>Hughes-</w:t>
      </w:r>
      <w:proofErr w:type="spellStart"/>
      <w:r w:rsidRPr="000F76EE">
        <w:rPr>
          <w:rFonts w:asciiTheme="minorHAnsi" w:eastAsiaTheme="minorHAnsi" w:hAnsiTheme="minorHAnsi" w:cs="Arial"/>
          <w:iCs/>
        </w:rPr>
        <w:t>Hallett</w:t>
      </w:r>
      <w:proofErr w:type="gramStart"/>
      <w:r w:rsidRPr="000F76EE">
        <w:rPr>
          <w:rFonts w:asciiTheme="minorHAnsi" w:eastAsiaTheme="minorHAnsi" w:hAnsiTheme="minorHAnsi" w:cs="Arial"/>
          <w:iCs/>
        </w:rPr>
        <w:t>,T</w:t>
      </w:r>
      <w:proofErr w:type="gramEnd"/>
      <w:r w:rsidRPr="000F76EE">
        <w:rPr>
          <w:rFonts w:asciiTheme="minorHAnsi" w:eastAsiaTheme="minorHAnsi" w:hAnsiTheme="minorHAnsi" w:cs="Arial"/>
          <w:iCs/>
        </w:rPr>
        <w:t>.,Craft</w:t>
      </w:r>
      <w:proofErr w:type="spellEnd"/>
      <w:r w:rsidRPr="000F76EE">
        <w:rPr>
          <w:rFonts w:asciiTheme="minorHAnsi" w:eastAsiaTheme="minorHAnsi" w:hAnsiTheme="minorHAnsi" w:cs="Arial"/>
          <w:iCs/>
        </w:rPr>
        <w:t xml:space="preserve">, Alan. </w:t>
      </w:r>
      <w:proofErr w:type="gramStart"/>
      <w:r w:rsidRPr="000F76EE">
        <w:rPr>
          <w:rFonts w:asciiTheme="minorHAnsi" w:eastAsiaTheme="minorHAnsi" w:hAnsiTheme="minorHAnsi" w:cs="Arial"/>
          <w:iCs/>
        </w:rPr>
        <w:t>and</w:t>
      </w:r>
      <w:proofErr w:type="gramEnd"/>
      <w:r w:rsidRPr="000F76EE">
        <w:rPr>
          <w:rFonts w:asciiTheme="minorHAnsi" w:eastAsiaTheme="minorHAnsi" w:hAnsiTheme="minorHAnsi" w:cs="Arial"/>
          <w:iCs/>
        </w:rPr>
        <w:t xml:space="preserve"> </w:t>
      </w:r>
      <w:proofErr w:type="spellStart"/>
      <w:r w:rsidRPr="000F76EE">
        <w:rPr>
          <w:rFonts w:asciiTheme="minorHAnsi" w:eastAsiaTheme="minorHAnsi" w:hAnsiTheme="minorHAnsi" w:cs="Arial"/>
          <w:iCs/>
        </w:rPr>
        <w:t>Davies.C</w:t>
      </w:r>
      <w:proofErr w:type="spellEnd"/>
      <w:r w:rsidRPr="000F76EE">
        <w:rPr>
          <w:rFonts w:asciiTheme="minorHAnsi" w:eastAsiaTheme="minorHAnsi" w:hAnsiTheme="minorHAnsi" w:cs="Arial"/>
          <w:iCs/>
        </w:rPr>
        <w:t>.</w:t>
      </w:r>
      <w:r>
        <w:rPr>
          <w:rFonts w:asciiTheme="minorHAnsi" w:eastAsiaTheme="minorHAnsi" w:hAnsiTheme="minorHAnsi" w:cs="Arial"/>
          <w:iCs/>
        </w:rPr>
        <w:t xml:space="preserve"> (2011) Palliative Care Funding Review </w:t>
      </w:r>
    </w:p>
    <w:p w:rsidR="000F76EE" w:rsidRPr="000F76EE" w:rsidRDefault="00E50D12" w:rsidP="000F76EE">
      <w:pPr>
        <w:autoSpaceDE w:val="0"/>
        <w:autoSpaceDN w:val="0"/>
        <w:adjustRightInd w:val="0"/>
        <w:spacing w:after="0" w:line="240" w:lineRule="auto"/>
        <w:ind w:left="720"/>
        <w:rPr>
          <w:rFonts w:asciiTheme="minorHAnsi" w:eastAsiaTheme="minorHAnsi" w:hAnsiTheme="minorHAnsi" w:cs="Arial"/>
          <w:iCs/>
        </w:rPr>
      </w:pPr>
      <w:hyperlink r:id="rId19" w:history="1">
        <w:r w:rsidR="000F76EE" w:rsidRPr="007D1971">
          <w:rPr>
            <w:rStyle w:val="Hyperlink"/>
            <w:rFonts w:eastAsia="SimSun" w:cs="Arial"/>
            <w:lang w:eastAsia="zh-CN"/>
          </w:rPr>
          <w:t>https://www.gov.uk/government/uploads/system/uploads/attachment_data/file/215107/dh_133105.pdf</w:t>
        </w:r>
      </w:hyperlink>
      <w:r w:rsidR="000F76EE">
        <w:rPr>
          <w:rFonts w:eastAsia="SimSun" w:cs="Arial"/>
          <w:lang w:eastAsia="zh-CN"/>
        </w:rPr>
        <w:t xml:space="preserve"> accessed 24th February 2015</w:t>
      </w:r>
    </w:p>
    <w:p w:rsidR="00021137" w:rsidRPr="002C0A74" w:rsidRDefault="00021137" w:rsidP="000F76EE">
      <w:pPr>
        <w:autoSpaceDE w:val="0"/>
        <w:autoSpaceDN w:val="0"/>
        <w:adjustRightInd w:val="0"/>
        <w:spacing w:after="0" w:line="240" w:lineRule="auto"/>
        <w:rPr>
          <w:rFonts w:eastAsia="Batang" w:cs="Arial"/>
          <w:lang w:eastAsia="en-GB"/>
        </w:rPr>
      </w:pPr>
      <w:r w:rsidRPr="002C0A74">
        <w:rPr>
          <w:rFonts w:eastAsia="Batang" w:cs="Arial"/>
          <w:lang w:eastAsia="en-GB"/>
        </w:rPr>
        <w:t xml:space="preserve">Hyndman, N. (1990) Charity Accounting: An Empirical Study of the Information </w:t>
      </w:r>
    </w:p>
    <w:p w:rsidR="00021137" w:rsidRPr="002C0A74" w:rsidRDefault="00021137" w:rsidP="00021137">
      <w:pPr>
        <w:autoSpaceDE w:val="0"/>
        <w:autoSpaceDN w:val="0"/>
        <w:adjustRightInd w:val="0"/>
        <w:spacing w:after="0" w:line="240" w:lineRule="auto"/>
        <w:ind w:left="720"/>
        <w:rPr>
          <w:rFonts w:eastAsia="Batang" w:cs="Arial"/>
          <w:lang w:eastAsia="en-GB"/>
        </w:rPr>
      </w:pPr>
      <w:r w:rsidRPr="002C0A74">
        <w:rPr>
          <w:rFonts w:eastAsia="Batang" w:cs="Arial"/>
          <w:lang w:eastAsia="en-GB"/>
        </w:rPr>
        <w:t xml:space="preserve">Needs of Contributors to UK Fundraising Charities, </w:t>
      </w:r>
      <w:r w:rsidRPr="002C0A74">
        <w:rPr>
          <w:rFonts w:eastAsia="Batang" w:cs="Arial"/>
          <w:i/>
          <w:iCs/>
          <w:lang w:eastAsia="en-GB"/>
        </w:rPr>
        <w:t>Financial Accountability &amp; Management</w:t>
      </w:r>
      <w:r w:rsidRPr="002C0A74">
        <w:rPr>
          <w:rFonts w:eastAsia="Batang" w:cs="Arial"/>
          <w:lang w:eastAsia="en-GB"/>
        </w:rPr>
        <w:t>, Vol. 6</w:t>
      </w:r>
      <w:proofErr w:type="gramStart"/>
      <w:r w:rsidRPr="002C0A74">
        <w:rPr>
          <w:rFonts w:eastAsia="Batang" w:cs="Arial"/>
          <w:lang w:eastAsia="en-GB"/>
        </w:rPr>
        <w:t>,No</w:t>
      </w:r>
      <w:proofErr w:type="gramEnd"/>
      <w:r w:rsidRPr="002C0A74">
        <w:rPr>
          <w:rFonts w:eastAsia="Batang" w:cs="Arial"/>
          <w:lang w:eastAsia="en-GB"/>
        </w:rPr>
        <w:t>. 4, pp 295–307.</w:t>
      </w:r>
    </w:p>
    <w:p w:rsidR="00021137" w:rsidRPr="002C0A74" w:rsidRDefault="00021137" w:rsidP="00021137">
      <w:pPr>
        <w:autoSpaceDE w:val="0"/>
        <w:autoSpaceDN w:val="0"/>
        <w:adjustRightInd w:val="0"/>
        <w:spacing w:after="0" w:line="240" w:lineRule="auto"/>
        <w:rPr>
          <w:rFonts w:eastAsia="Batang" w:cs="Arial"/>
          <w:lang w:eastAsia="en-GB"/>
        </w:rPr>
      </w:pPr>
      <w:r w:rsidRPr="002C0A74">
        <w:rPr>
          <w:rFonts w:eastAsia="Batang" w:cs="Arial"/>
          <w:lang w:eastAsia="ko-KR"/>
        </w:rPr>
        <w:t>Hyndman, N.</w:t>
      </w:r>
      <w:r w:rsidRPr="002C0A74">
        <w:rPr>
          <w:rFonts w:eastAsia="Batang" w:cs="BookAntiqua"/>
          <w:lang w:eastAsia="en-GB"/>
        </w:rPr>
        <w:t xml:space="preserve"> </w:t>
      </w:r>
      <w:r w:rsidRPr="002C0A74">
        <w:rPr>
          <w:rFonts w:eastAsia="Batang" w:cs="Arial"/>
          <w:lang w:eastAsia="en-GB"/>
        </w:rPr>
        <w:t xml:space="preserve">(1991) Contributors to Charities – A Comparison of their Information </w:t>
      </w:r>
    </w:p>
    <w:p w:rsidR="00021137" w:rsidRPr="002C0A74" w:rsidRDefault="00021137" w:rsidP="00021137">
      <w:pPr>
        <w:autoSpaceDE w:val="0"/>
        <w:autoSpaceDN w:val="0"/>
        <w:adjustRightInd w:val="0"/>
        <w:spacing w:after="0" w:line="240" w:lineRule="auto"/>
        <w:ind w:left="720"/>
        <w:rPr>
          <w:rFonts w:eastAsia="Batang" w:cs="Arial"/>
          <w:lang w:eastAsia="en-GB"/>
        </w:rPr>
      </w:pPr>
      <w:r w:rsidRPr="002C0A74">
        <w:rPr>
          <w:rFonts w:eastAsia="Batang" w:cs="Arial"/>
          <w:lang w:eastAsia="en-GB"/>
        </w:rPr>
        <w:t xml:space="preserve">Needs and the Perceptions of Such by the Providers of Information, </w:t>
      </w:r>
      <w:r w:rsidRPr="002C0A74">
        <w:rPr>
          <w:rFonts w:eastAsia="Batang" w:cs="Arial"/>
          <w:i/>
          <w:iCs/>
          <w:lang w:eastAsia="en-GB"/>
        </w:rPr>
        <w:t>Financial Accountability &amp; Management</w:t>
      </w:r>
      <w:r w:rsidRPr="002C0A74">
        <w:rPr>
          <w:rFonts w:eastAsia="Batang" w:cs="Arial"/>
          <w:lang w:eastAsia="en-GB"/>
        </w:rPr>
        <w:t>, Vol. 7, No. 2, pp 69–82.</w:t>
      </w:r>
    </w:p>
    <w:p w:rsidR="00021137" w:rsidRPr="00012FA1" w:rsidRDefault="00021137" w:rsidP="00021137">
      <w:pPr>
        <w:autoSpaceDE w:val="0"/>
        <w:autoSpaceDN w:val="0"/>
        <w:adjustRightInd w:val="0"/>
        <w:spacing w:after="0" w:line="240" w:lineRule="auto"/>
        <w:ind w:left="720" w:hanging="720"/>
        <w:rPr>
          <w:rFonts w:eastAsia="SimSun" w:cs="Arial"/>
          <w:lang w:eastAsia="zh-CN"/>
        </w:rPr>
      </w:pPr>
      <w:proofErr w:type="spellStart"/>
      <w:proofErr w:type="gramStart"/>
      <w:r w:rsidRPr="00012FA1">
        <w:rPr>
          <w:rFonts w:eastAsia="SimSun" w:cs="Arial"/>
          <w:lang w:eastAsia="zh-CN"/>
        </w:rPr>
        <w:t>Ittner</w:t>
      </w:r>
      <w:proofErr w:type="spellEnd"/>
      <w:r w:rsidRPr="00012FA1">
        <w:rPr>
          <w:rFonts w:eastAsia="SimSun" w:cs="Arial"/>
          <w:lang w:eastAsia="zh-CN"/>
        </w:rPr>
        <w:t xml:space="preserve">, C. D., </w:t>
      </w:r>
      <w:proofErr w:type="spellStart"/>
      <w:r w:rsidRPr="00012FA1">
        <w:rPr>
          <w:rFonts w:eastAsia="SimSun" w:cs="Arial"/>
          <w:lang w:eastAsia="zh-CN"/>
        </w:rPr>
        <w:t>Larcker</w:t>
      </w:r>
      <w:proofErr w:type="spellEnd"/>
      <w:r w:rsidRPr="00012FA1">
        <w:rPr>
          <w:rFonts w:eastAsia="SimSun" w:cs="Arial"/>
          <w:lang w:eastAsia="zh-CN"/>
        </w:rPr>
        <w:t>, D. F. and Meyer, M. W. (2003).</w:t>
      </w:r>
      <w:proofErr w:type="gramEnd"/>
      <w:r w:rsidRPr="00012FA1">
        <w:rPr>
          <w:rFonts w:eastAsia="SimSun" w:cs="Arial"/>
          <w:lang w:eastAsia="zh-CN"/>
        </w:rPr>
        <w:t xml:space="preserve"> Subjectivity and the Weighting of Performance Measures: Evidence from a Balanced Scorecard. </w:t>
      </w:r>
      <w:proofErr w:type="gramStart"/>
      <w:r w:rsidRPr="00012FA1">
        <w:rPr>
          <w:rFonts w:eastAsia="SimSun" w:cs="Arial"/>
          <w:i/>
          <w:iCs/>
          <w:lang w:eastAsia="zh-CN"/>
        </w:rPr>
        <w:t>Accounting Review</w:t>
      </w:r>
      <w:r w:rsidRPr="00012FA1">
        <w:rPr>
          <w:rFonts w:eastAsia="SimSun" w:cs="Arial"/>
          <w:lang w:eastAsia="zh-CN"/>
        </w:rPr>
        <w:t xml:space="preserve"> 78 (3), pp.725-758.</w:t>
      </w:r>
      <w:proofErr w:type="gramEnd"/>
    </w:p>
    <w:p w:rsidR="00021137" w:rsidRDefault="00021137" w:rsidP="00021137">
      <w:proofErr w:type="spellStart"/>
      <w:r w:rsidRPr="002C0A74">
        <w:t>Johnson</w:t>
      </w:r>
      <w:proofErr w:type="gramStart"/>
      <w:r>
        <w:t>,H</w:t>
      </w:r>
      <w:proofErr w:type="spellEnd"/>
      <w:proofErr w:type="gramEnd"/>
      <w:r>
        <w:t>.</w:t>
      </w:r>
      <w:r w:rsidRPr="002C0A74">
        <w:t xml:space="preserve"> </w:t>
      </w:r>
      <w:proofErr w:type="spellStart"/>
      <w:r w:rsidRPr="002C0A74">
        <w:t>Joy,I</w:t>
      </w:r>
      <w:proofErr w:type="spellEnd"/>
      <w:r w:rsidRPr="002C0A74">
        <w:t>. and McKenzie, D.</w:t>
      </w:r>
      <w:r w:rsidRPr="002C0A74">
        <w:rPr>
          <w:i/>
        </w:rPr>
        <w:t xml:space="preserve"> </w:t>
      </w:r>
      <w:r w:rsidRPr="002C0A74">
        <w:t xml:space="preserve">(2011) </w:t>
      </w:r>
      <w:r w:rsidRPr="002C0A74">
        <w:rPr>
          <w:i/>
        </w:rPr>
        <w:t>Sue Ryder Charity assessment</w:t>
      </w:r>
      <w:r w:rsidRPr="002C0A74">
        <w:t xml:space="preserve"> New Philanthropic Capital </w:t>
      </w:r>
    </w:p>
    <w:p w:rsidR="00021137" w:rsidRDefault="00E50D12" w:rsidP="00021137">
      <w:pPr>
        <w:ind w:firstLine="720"/>
      </w:pPr>
      <w:hyperlink r:id="rId20" w:history="1">
        <w:r w:rsidR="00021137" w:rsidRPr="002C0A74">
          <w:rPr>
            <w:color w:val="0000FF"/>
            <w:u w:val="single"/>
          </w:rPr>
          <w:t>http://www.thinknpc.org/publications/charity-analysis-sue-ryder/</w:t>
        </w:r>
      </w:hyperlink>
      <w:r w:rsidR="00021137" w:rsidRPr="002C0A74">
        <w:t xml:space="preserve"> accessed 24/10/2012</w:t>
      </w:r>
    </w:p>
    <w:p w:rsidR="00021137" w:rsidRDefault="00021137" w:rsidP="00021137">
      <w:pPr>
        <w:ind w:left="45"/>
        <w:rPr>
          <w:i/>
        </w:rPr>
      </w:pPr>
      <w:proofErr w:type="spellStart"/>
      <w:r>
        <w:t>Joy</w:t>
      </w:r>
      <w:proofErr w:type="gramStart"/>
      <w:r>
        <w:t>,I</w:t>
      </w:r>
      <w:proofErr w:type="spellEnd"/>
      <w:proofErr w:type="gramEnd"/>
      <w:r>
        <w:t xml:space="preserve">. and </w:t>
      </w:r>
      <w:proofErr w:type="spellStart"/>
      <w:r>
        <w:t>Sandford</w:t>
      </w:r>
      <w:proofErr w:type="spellEnd"/>
      <w:r>
        <w:t xml:space="preserve">, S. (2004) </w:t>
      </w:r>
      <w:r w:rsidRPr="007D27ED">
        <w:rPr>
          <w:i/>
        </w:rPr>
        <w:t xml:space="preserve">Caring about Dying palliative care and support for the terminally ill: a </w:t>
      </w:r>
    </w:p>
    <w:p w:rsidR="00021137" w:rsidRPr="002C0A74" w:rsidRDefault="00021137" w:rsidP="00021137">
      <w:pPr>
        <w:ind w:left="720"/>
      </w:pPr>
      <w:proofErr w:type="gramStart"/>
      <w:r w:rsidRPr="007D27ED">
        <w:rPr>
          <w:i/>
        </w:rPr>
        <w:t>guide</w:t>
      </w:r>
      <w:proofErr w:type="gramEnd"/>
      <w:r w:rsidRPr="007D27ED">
        <w:rPr>
          <w:i/>
        </w:rPr>
        <w:t xml:space="preserve"> for donors and grant makers</w:t>
      </w:r>
      <w:r>
        <w:t xml:space="preserve"> New Philanthropic Capital </w:t>
      </w:r>
      <w:hyperlink r:id="rId21" w:history="1">
        <w:r w:rsidRPr="000252DD">
          <w:rPr>
            <w:color w:val="0000FF"/>
            <w:u w:val="single"/>
          </w:rPr>
          <w:t>http://www.thinknpc.org/publications/caring-about-dying/</w:t>
        </w:r>
      </w:hyperlink>
      <w:r>
        <w:t xml:space="preserve"> accessed 24/10/2012</w:t>
      </w:r>
    </w:p>
    <w:p w:rsidR="00021137" w:rsidRPr="002C0A74" w:rsidRDefault="00021137" w:rsidP="00021137">
      <w:pPr>
        <w:autoSpaceDE w:val="0"/>
        <w:autoSpaceDN w:val="0"/>
        <w:adjustRightInd w:val="0"/>
        <w:spacing w:after="0" w:line="240" w:lineRule="auto"/>
        <w:ind w:left="720" w:hanging="720"/>
        <w:rPr>
          <w:rFonts w:eastAsia="SimSun" w:cs="Arial"/>
          <w:lang w:eastAsia="zh-CN"/>
        </w:rPr>
      </w:pPr>
      <w:r w:rsidRPr="002C0A74">
        <w:rPr>
          <w:rFonts w:eastAsia="SimSun" w:cs="Arial"/>
          <w:lang w:eastAsia="zh-CN"/>
        </w:rPr>
        <w:t xml:space="preserve">Kaplan, R. S. (2001). </w:t>
      </w:r>
      <w:proofErr w:type="gramStart"/>
      <w:r w:rsidRPr="002C0A74">
        <w:rPr>
          <w:rFonts w:eastAsia="SimSun" w:cs="Arial"/>
          <w:lang w:eastAsia="zh-CN"/>
        </w:rPr>
        <w:t xml:space="preserve">Strategic Performance Measurement and Management in </w:t>
      </w:r>
      <w:proofErr w:type="spellStart"/>
      <w:r w:rsidRPr="002C0A74">
        <w:rPr>
          <w:rFonts w:eastAsia="SimSun" w:cs="Arial"/>
          <w:lang w:eastAsia="zh-CN"/>
        </w:rPr>
        <w:t>Nonprofit</w:t>
      </w:r>
      <w:proofErr w:type="spellEnd"/>
      <w:r w:rsidRPr="002C0A74">
        <w:rPr>
          <w:rFonts w:eastAsia="SimSun" w:cs="Arial"/>
          <w:lang w:eastAsia="zh-CN"/>
        </w:rPr>
        <w:t xml:space="preserve"> Organizations.</w:t>
      </w:r>
      <w:proofErr w:type="gramEnd"/>
      <w:r w:rsidRPr="002C0A74">
        <w:rPr>
          <w:rFonts w:eastAsia="SimSun" w:cs="Arial"/>
          <w:lang w:eastAsia="zh-CN"/>
        </w:rPr>
        <w:t xml:space="preserve"> </w:t>
      </w:r>
      <w:proofErr w:type="spellStart"/>
      <w:r w:rsidRPr="002C0A74">
        <w:rPr>
          <w:rFonts w:eastAsia="SimSun" w:cs="Arial"/>
          <w:i/>
          <w:iCs/>
          <w:lang w:eastAsia="zh-CN"/>
        </w:rPr>
        <w:t>Nonprofit</w:t>
      </w:r>
      <w:proofErr w:type="spellEnd"/>
      <w:r w:rsidRPr="002C0A74">
        <w:rPr>
          <w:rFonts w:eastAsia="SimSun" w:cs="Arial"/>
          <w:i/>
          <w:iCs/>
          <w:lang w:eastAsia="zh-CN"/>
        </w:rPr>
        <w:t xml:space="preserve"> Management &amp; Leadership</w:t>
      </w:r>
      <w:r w:rsidRPr="002C0A74">
        <w:rPr>
          <w:rFonts w:eastAsia="SimSun" w:cs="Arial"/>
          <w:lang w:eastAsia="zh-CN"/>
        </w:rPr>
        <w:t xml:space="preserve"> 11 (3), p.354.</w:t>
      </w:r>
    </w:p>
    <w:p w:rsidR="00021137" w:rsidRPr="002C0A74" w:rsidRDefault="00021137" w:rsidP="00021137">
      <w:pPr>
        <w:autoSpaceDE w:val="0"/>
        <w:autoSpaceDN w:val="0"/>
        <w:adjustRightInd w:val="0"/>
        <w:spacing w:after="0" w:line="240" w:lineRule="auto"/>
        <w:ind w:left="720" w:hanging="720"/>
        <w:rPr>
          <w:rFonts w:eastAsia="SimSun" w:cs="Arial"/>
          <w:lang w:eastAsia="zh-CN"/>
        </w:rPr>
      </w:pPr>
      <w:proofErr w:type="gramStart"/>
      <w:r w:rsidRPr="002C0A74">
        <w:rPr>
          <w:rFonts w:eastAsia="SimSun" w:cs="Arial"/>
          <w:lang w:eastAsia="zh-CN"/>
        </w:rPr>
        <w:t>Kaplan, R. S. and Norton, D. P. (1992).</w:t>
      </w:r>
      <w:proofErr w:type="gramEnd"/>
      <w:r w:rsidRPr="002C0A74">
        <w:rPr>
          <w:rFonts w:eastAsia="SimSun" w:cs="Arial"/>
          <w:lang w:eastAsia="zh-CN"/>
        </w:rPr>
        <w:t xml:space="preserve"> The Balanced Scorecard--Measures That Drive Performance. </w:t>
      </w:r>
      <w:proofErr w:type="gramStart"/>
      <w:r w:rsidRPr="002C0A74">
        <w:rPr>
          <w:rFonts w:eastAsia="SimSun" w:cs="Arial"/>
          <w:i/>
          <w:iCs/>
          <w:lang w:eastAsia="zh-CN"/>
        </w:rPr>
        <w:t>Harvard Business Review</w:t>
      </w:r>
      <w:r w:rsidRPr="002C0A74">
        <w:rPr>
          <w:rFonts w:eastAsia="SimSun" w:cs="Arial"/>
          <w:lang w:eastAsia="zh-CN"/>
        </w:rPr>
        <w:t xml:space="preserve"> 70 (1), pp71-79.</w:t>
      </w:r>
      <w:proofErr w:type="gramEnd"/>
    </w:p>
    <w:p w:rsidR="00021137" w:rsidRPr="002C0A74" w:rsidRDefault="00021137" w:rsidP="00021137">
      <w:pPr>
        <w:autoSpaceDE w:val="0"/>
        <w:autoSpaceDN w:val="0"/>
        <w:adjustRightInd w:val="0"/>
        <w:spacing w:after="0" w:line="240" w:lineRule="auto"/>
        <w:ind w:left="720" w:hanging="720"/>
        <w:rPr>
          <w:rFonts w:eastAsia="SimSun" w:cs="Arial"/>
          <w:lang w:eastAsia="zh-CN"/>
        </w:rPr>
      </w:pPr>
      <w:proofErr w:type="gramStart"/>
      <w:r w:rsidRPr="002C0A74">
        <w:rPr>
          <w:rFonts w:eastAsia="SimSun" w:cs="Arial"/>
          <w:lang w:eastAsia="zh-CN"/>
        </w:rPr>
        <w:t>Kaplan, R. S. and Norton, D. P. (1996).</w:t>
      </w:r>
      <w:proofErr w:type="gramEnd"/>
      <w:r w:rsidRPr="002C0A74">
        <w:rPr>
          <w:rFonts w:eastAsia="SimSun" w:cs="Arial"/>
          <w:lang w:eastAsia="zh-CN"/>
        </w:rPr>
        <w:t xml:space="preserve"> </w:t>
      </w:r>
      <w:proofErr w:type="gramStart"/>
      <w:r w:rsidRPr="002C0A74">
        <w:rPr>
          <w:rFonts w:eastAsia="SimSun" w:cs="Arial"/>
          <w:lang w:eastAsia="zh-CN"/>
        </w:rPr>
        <w:t>Using the Balanced Scorecard as a Strategic Management System.</w:t>
      </w:r>
      <w:proofErr w:type="gramEnd"/>
      <w:r w:rsidRPr="002C0A74">
        <w:rPr>
          <w:rFonts w:eastAsia="SimSun" w:cs="Arial"/>
          <w:lang w:eastAsia="zh-CN"/>
        </w:rPr>
        <w:t xml:space="preserve"> </w:t>
      </w:r>
      <w:proofErr w:type="gramStart"/>
      <w:r w:rsidRPr="002C0A74">
        <w:rPr>
          <w:rFonts w:eastAsia="SimSun" w:cs="Arial"/>
          <w:i/>
          <w:iCs/>
          <w:lang w:eastAsia="zh-CN"/>
        </w:rPr>
        <w:t>Harvard Business Review</w:t>
      </w:r>
      <w:r w:rsidRPr="002C0A74">
        <w:rPr>
          <w:rFonts w:eastAsia="SimSun" w:cs="Arial"/>
          <w:lang w:eastAsia="zh-CN"/>
        </w:rPr>
        <w:t xml:space="preserve"> 74 (1), pp75-85.</w:t>
      </w:r>
      <w:proofErr w:type="gramEnd"/>
    </w:p>
    <w:p w:rsidR="00021137" w:rsidRPr="002C0A74" w:rsidRDefault="00021137" w:rsidP="00021137">
      <w:pPr>
        <w:autoSpaceDE w:val="0"/>
        <w:autoSpaceDN w:val="0"/>
        <w:adjustRightInd w:val="0"/>
        <w:spacing w:after="0" w:line="240" w:lineRule="auto"/>
        <w:ind w:left="720" w:hanging="720"/>
        <w:rPr>
          <w:rFonts w:eastAsia="SimSun" w:cs="Arial"/>
          <w:lang w:eastAsia="zh-CN"/>
        </w:rPr>
      </w:pPr>
      <w:proofErr w:type="gramStart"/>
      <w:r w:rsidRPr="002C0A74">
        <w:rPr>
          <w:rFonts w:eastAsia="SimSun" w:cs="Arial"/>
          <w:lang w:eastAsia="zh-CN"/>
        </w:rPr>
        <w:t>Kaplan, R. S. and Norton, D. P. (2000).</w:t>
      </w:r>
      <w:proofErr w:type="gramEnd"/>
      <w:r w:rsidRPr="002C0A74">
        <w:rPr>
          <w:rFonts w:eastAsia="SimSun" w:cs="Arial"/>
          <w:lang w:eastAsia="zh-CN"/>
        </w:rPr>
        <w:t xml:space="preserve"> Having Trouble with Your Strategy? </w:t>
      </w:r>
      <w:proofErr w:type="gramStart"/>
      <w:r w:rsidRPr="002C0A74">
        <w:rPr>
          <w:rFonts w:eastAsia="SimSun" w:cs="Arial"/>
          <w:lang w:eastAsia="zh-CN"/>
        </w:rPr>
        <w:t xml:space="preserve">Then Map It. </w:t>
      </w:r>
      <w:r w:rsidRPr="002C0A74">
        <w:rPr>
          <w:rFonts w:eastAsia="SimSun" w:cs="Arial"/>
          <w:i/>
          <w:iCs/>
          <w:lang w:eastAsia="zh-CN"/>
        </w:rPr>
        <w:t>Harvard Business Review</w:t>
      </w:r>
      <w:r w:rsidRPr="002C0A74">
        <w:rPr>
          <w:rFonts w:eastAsia="SimSun" w:cs="Arial"/>
          <w:lang w:eastAsia="zh-CN"/>
        </w:rPr>
        <w:t xml:space="preserve"> 78 (5), pp167-176.</w:t>
      </w:r>
      <w:proofErr w:type="gramEnd"/>
    </w:p>
    <w:p w:rsidR="00021137" w:rsidRPr="002C0A74" w:rsidRDefault="00021137" w:rsidP="00021137">
      <w:pPr>
        <w:autoSpaceDE w:val="0"/>
        <w:autoSpaceDN w:val="0"/>
        <w:adjustRightInd w:val="0"/>
        <w:spacing w:after="0" w:line="240" w:lineRule="auto"/>
        <w:ind w:left="720" w:hanging="720"/>
        <w:rPr>
          <w:rFonts w:eastAsia="SimSun" w:cs="Arial"/>
          <w:i/>
          <w:iCs/>
          <w:lang w:eastAsia="zh-CN"/>
        </w:rPr>
      </w:pPr>
      <w:proofErr w:type="gramStart"/>
      <w:r w:rsidRPr="002C0A74">
        <w:rPr>
          <w:rFonts w:eastAsia="SimSun" w:cs="Arial"/>
          <w:lang w:eastAsia="zh-CN"/>
        </w:rPr>
        <w:t>Kendall, J. and Knapp, M. (2000) Measuring the performance of voluntary organisations.</w:t>
      </w:r>
      <w:proofErr w:type="gramEnd"/>
      <w:r w:rsidRPr="002C0A74">
        <w:rPr>
          <w:rFonts w:eastAsia="SimSun" w:cs="Arial"/>
          <w:lang w:eastAsia="zh-CN"/>
        </w:rPr>
        <w:t xml:space="preserve"> </w:t>
      </w:r>
      <w:proofErr w:type="gramStart"/>
      <w:r w:rsidRPr="002C0A74">
        <w:rPr>
          <w:rFonts w:eastAsia="SimSun" w:cs="Arial"/>
          <w:i/>
          <w:iCs/>
          <w:lang w:eastAsia="zh-CN"/>
        </w:rPr>
        <w:t xml:space="preserve">Public Management </w:t>
      </w:r>
      <w:r w:rsidRPr="002C0A74">
        <w:rPr>
          <w:rFonts w:eastAsia="Batang" w:cs="Arial"/>
          <w:lang w:eastAsia="ko-KR"/>
        </w:rPr>
        <w:t xml:space="preserve">Vol 2 (1) </w:t>
      </w:r>
      <w:r>
        <w:rPr>
          <w:rFonts w:eastAsia="Batang" w:cs="Arial"/>
          <w:lang w:eastAsia="ko-KR"/>
        </w:rPr>
        <w:t>pp</w:t>
      </w:r>
      <w:r w:rsidRPr="002C0A74">
        <w:rPr>
          <w:rFonts w:eastAsia="Batang" w:cs="Arial"/>
          <w:lang w:eastAsia="ko-KR"/>
        </w:rPr>
        <w:t>105—132.</w:t>
      </w:r>
      <w:proofErr w:type="gramEnd"/>
      <w:r w:rsidRPr="002C0A74">
        <w:rPr>
          <w:rFonts w:eastAsia="SimSun" w:cs="Arial"/>
          <w:i/>
          <w:iCs/>
          <w:lang w:eastAsia="zh-CN"/>
        </w:rPr>
        <w:t xml:space="preserve"> </w:t>
      </w:r>
    </w:p>
    <w:p w:rsidR="00021137" w:rsidRPr="002C0A74" w:rsidRDefault="00021137" w:rsidP="00021137">
      <w:pPr>
        <w:autoSpaceDE w:val="0"/>
        <w:autoSpaceDN w:val="0"/>
        <w:adjustRightInd w:val="0"/>
        <w:spacing w:after="0" w:line="240" w:lineRule="auto"/>
        <w:ind w:left="720" w:hanging="720"/>
        <w:rPr>
          <w:rFonts w:eastAsia="Batang" w:cs="Arial"/>
          <w:lang w:eastAsia="ko-KR"/>
        </w:rPr>
      </w:pPr>
      <w:r w:rsidRPr="002C0A74">
        <w:rPr>
          <w:rFonts w:eastAsia="Batang" w:cs="Arial"/>
          <w:lang w:eastAsia="ko-KR"/>
        </w:rPr>
        <w:t xml:space="preserve">Merchant, K.A. and Van der </w:t>
      </w:r>
      <w:proofErr w:type="spellStart"/>
      <w:r w:rsidRPr="002C0A74">
        <w:rPr>
          <w:rFonts w:eastAsia="Batang" w:cs="Arial"/>
          <w:lang w:eastAsia="ko-KR"/>
        </w:rPr>
        <w:t>Stede</w:t>
      </w:r>
      <w:proofErr w:type="gramStart"/>
      <w:r w:rsidRPr="002C0A74">
        <w:rPr>
          <w:rFonts w:eastAsia="Batang" w:cs="Arial"/>
          <w:lang w:eastAsia="ko-KR"/>
        </w:rPr>
        <w:t>,W.A</w:t>
      </w:r>
      <w:proofErr w:type="spellEnd"/>
      <w:proofErr w:type="gramEnd"/>
      <w:r w:rsidRPr="002C0A74">
        <w:rPr>
          <w:rFonts w:eastAsia="Batang" w:cs="Arial"/>
          <w:lang w:eastAsia="ko-KR"/>
        </w:rPr>
        <w:t xml:space="preserve"> (2012) </w:t>
      </w:r>
      <w:r w:rsidRPr="002C0A74">
        <w:rPr>
          <w:rFonts w:eastAsia="Batang" w:cs="Arial"/>
          <w:i/>
          <w:lang w:eastAsia="ko-KR"/>
        </w:rPr>
        <w:t>Management control systems: Performance measurement, evaluation and Incentives</w:t>
      </w:r>
      <w:r w:rsidRPr="002C0A74">
        <w:rPr>
          <w:rFonts w:eastAsia="Batang" w:cs="Arial"/>
          <w:lang w:eastAsia="ko-KR"/>
        </w:rPr>
        <w:t xml:space="preserve"> 3</w:t>
      </w:r>
      <w:r w:rsidRPr="002C0A74">
        <w:rPr>
          <w:rFonts w:eastAsia="Batang" w:cs="Arial"/>
          <w:vertAlign w:val="superscript"/>
          <w:lang w:eastAsia="ko-KR"/>
        </w:rPr>
        <w:t>rd</w:t>
      </w:r>
      <w:r w:rsidRPr="002C0A74">
        <w:rPr>
          <w:rFonts w:eastAsia="Batang" w:cs="Arial"/>
          <w:lang w:eastAsia="ko-KR"/>
        </w:rPr>
        <w:t xml:space="preserve"> </w:t>
      </w:r>
      <w:proofErr w:type="spellStart"/>
      <w:r w:rsidRPr="002C0A74">
        <w:rPr>
          <w:rFonts w:eastAsia="Batang" w:cs="Arial"/>
          <w:lang w:eastAsia="ko-KR"/>
        </w:rPr>
        <w:t>ed</w:t>
      </w:r>
      <w:proofErr w:type="spellEnd"/>
      <w:r w:rsidRPr="002C0A74">
        <w:rPr>
          <w:rFonts w:eastAsia="Batang" w:cs="Arial"/>
          <w:lang w:eastAsia="ko-KR"/>
        </w:rPr>
        <w:t xml:space="preserve"> </w:t>
      </w:r>
      <w:proofErr w:type="spellStart"/>
      <w:r w:rsidRPr="002C0A74">
        <w:rPr>
          <w:rFonts w:eastAsia="Batang" w:cs="Arial"/>
          <w:lang w:eastAsia="ko-KR"/>
        </w:rPr>
        <w:t>Harlow:Pearson</w:t>
      </w:r>
      <w:proofErr w:type="spellEnd"/>
    </w:p>
    <w:p w:rsidR="00021137" w:rsidRDefault="00021137" w:rsidP="00021137">
      <w:pPr>
        <w:autoSpaceDE w:val="0"/>
        <w:autoSpaceDN w:val="0"/>
        <w:adjustRightInd w:val="0"/>
        <w:spacing w:after="0" w:line="240" w:lineRule="auto"/>
        <w:rPr>
          <w:rFonts w:cs="Helvetica-BoldOblique"/>
          <w:bCs/>
          <w:i/>
          <w:iCs/>
        </w:rPr>
      </w:pPr>
      <w:proofErr w:type="spellStart"/>
      <w:r w:rsidRPr="00390B5C">
        <w:rPr>
          <w:rFonts w:eastAsia="Batang" w:cs="Arial"/>
          <w:lang w:eastAsia="ko-KR"/>
        </w:rPr>
        <w:t>Morgan</w:t>
      </w:r>
      <w:proofErr w:type="gramStart"/>
      <w:r w:rsidRPr="00390B5C">
        <w:rPr>
          <w:rFonts w:eastAsia="Batang" w:cs="Arial"/>
          <w:lang w:eastAsia="ko-KR"/>
        </w:rPr>
        <w:t>,G.G</w:t>
      </w:r>
      <w:proofErr w:type="spellEnd"/>
      <w:proofErr w:type="gramEnd"/>
      <w:r w:rsidRPr="00390B5C">
        <w:rPr>
          <w:rFonts w:eastAsia="Batang" w:cs="Arial"/>
          <w:lang w:eastAsia="ko-KR"/>
        </w:rPr>
        <w:t xml:space="preserve">. and </w:t>
      </w:r>
      <w:proofErr w:type="spellStart"/>
      <w:r w:rsidRPr="00390B5C">
        <w:rPr>
          <w:rFonts w:eastAsia="Batang" w:cs="Arial"/>
          <w:lang w:eastAsia="ko-KR"/>
        </w:rPr>
        <w:t>Fletcher,N.J</w:t>
      </w:r>
      <w:proofErr w:type="spellEnd"/>
      <w:r w:rsidRPr="00390B5C">
        <w:rPr>
          <w:rFonts w:eastAsia="Batang" w:cs="Arial"/>
          <w:lang w:eastAsia="ko-KR"/>
        </w:rPr>
        <w:t>.. (20</w:t>
      </w:r>
      <w:r>
        <w:rPr>
          <w:rFonts w:eastAsia="Batang" w:cs="Arial"/>
          <w:lang w:eastAsia="ko-KR"/>
        </w:rPr>
        <w:t>11)</w:t>
      </w:r>
      <w:r w:rsidRPr="007742BD">
        <w:rPr>
          <w:rFonts w:cs="Helvetica"/>
        </w:rPr>
        <w:t xml:space="preserve"> </w:t>
      </w:r>
      <w:r w:rsidRPr="007742BD">
        <w:rPr>
          <w:rFonts w:cs="Helvetica-BoldOblique"/>
          <w:bCs/>
          <w:i/>
          <w:iCs/>
        </w:rPr>
        <w:t xml:space="preserve">Mandatory Public Benefit Reporting </w:t>
      </w:r>
      <w:r>
        <w:rPr>
          <w:rFonts w:cs="Helvetica-BoldOblique"/>
          <w:bCs/>
          <w:i/>
          <w:iCs/>
        </w:rPr>
        <w:t>as</w:t>
      </w:r>
      <w:r w:rsidRPr="007742BD">
        <w:rPr>
          <w:rFonts w:cs="Helvetica-BoldOblique"/>
          <w:bCs/>
          <w:i/>
          <w:iCs/>
        </w:rPr>
        <w:t xml:space="preserve"> a basis for Charity </w:t>
      </w:r>
    </w:p>
    <w:p w:rsidR="00021137" w:rsidRPr="00390B5C" w:rsidRDefault="00021137" w:rsidP="00021137">
      <w:pPr>
        <w:autoSpaceDE w:val="0"/>
        <w:autoSpaceDN w:val="0"/>
        <w:adjustRightInd w:val="0"/>
        <w:spacing w:after="0" w:line="240" w:lineRule="auto"/>
        <w:ind w:left="720"/>
        <w:rPr>
          <w:rFonts w:eastAsia="Batang" w:cs="Arial"/>
          <w:lang w:eastAsia="ko-KR"/>
        </w:rPr>
      </w:pPr>
      <w:r w:rsidRPr="007742BD">
        <w:rPr>
          <w:rFonts w:cs="Helvetica-BoldOblique"/>
          <w:bCs/>
          <w:i/>
          <w:iCs/>
        </w:rPr>
        <w:t>Accountability:</w:t>
      </w:r>
      <w:r>
        <w:rPr>
          <w:rFonts w:cs="Helvetica-BoldOblique"/>
          <w:bCs/>
          <w:i/>
          <w:iCs/>
        </w:rPr>
        <w:t xml:space="preserve"> </w:t>
      </w:r>
      <w:r w:rsidRPr="007742BD">
        <w:rPr>
          <w:rFonts w:cs="Helvetica-BoldOblique"/>
          <w:bCs/>
          <w:i/>
          <w:iCs/>
        </w:rPr>
        <w:t xml:space="preserve">Findings from England &amp; </w:t>
      </w:r>
      <w:proofErr w:type="gramStart"/>
      <w:r w:rsidRPr="007742BD">
        <w:rPr>
          <w:rFonts w:cs="Helvetica-BoldOblique"/>
          <w:bCs/>
          <w:i/>
          <w:iCs/>
        </w:rPr>
        <w:t>Wales</w:t>
      </w:r>
      <w:proofErr w:type="gramEnd"/>
      <w:r w:rsidRPr="007742BD">
        <w:rPr>
          <w:rFonts w:cs="Helvetica-BoldOblique"/>
          <w:bCs/>
          <w:i/>
          <w:iCs/>
        </w:rPr>
        <w:t xml:space="preserve"> </w:t>
      </w:r>
      <w:r w:rsidRPr="007742BD">
        <w:rPr>
          <w:rFonts w:cs="Helvetica-BoldOblique"/>
          <w:bCs/>
          <w:iCs/>
        </w:rPr>
        <w:t>paper presented at IST</w:t>
      </w:r>
      <w:r>
        <w:rPr>
          <w:rFonts w:cs="Helvetica-BoldOblique"/>
          <w:bCs/>
          <w:iCs/>
        </w:rPr>
        <w:t>R</w:t>
      </w:r>
      <w:r w:rsidRPr="007742BD">
        <w:rPr>
          <w:rFonts w:cs="Helvetica-BoldOblique"/>
          <w:bCs/>
          <w:iCs/>
        </w:rPr>
        <w:t xml:space="preserve"> conferen</w:t>
      </w:r>
      <w:r>
        <w:rPr>
          <w:rFonts w:cs="Helvetica-BoldOblique"/>
          <w:bCs/>
          <w:iCs/>
        </w:rPr>
        <w:t>c</w:t>
      </w:r>
      <w:r w:rsidRPr="007742BD">
        <w:rPr>
          <w:rFonts w:cs="Helvetica-BoldOblique"/>
          <w:bCs/>
          <w:iCs/>
        </w:rPr>
        <w:t>e Siena July 2012</w:t>
      </w:r>
    </w:p>
    <w:p w:rsidR="00021137" w:rsidRPr="002C0A74" w:rsidRDefault="00021137" w:rsidP="00021137">
      <w:pPr>
        <w:autoSpaceDE w:val="0"/>
        <w:autoSpaceDN w:val="0"/>
        <w:adjustRightInd w:val="0"/>
        <w:spacing w:after="0" w:line="240" w:lineRule="auto"/>
        <w:ind w:left="720" w:hanging="720"/>
        <w:rPr>
          <w:rFonts w:eastAsia="SimSun" w:cs="Arial"/>
          <w:lang w:eastAsia="zh-CN"/>
        </w:rPr>
      </w:pPr>
      <w:proofErr w:type="spellStart"/>
      <w:r w:rsidRPr="002C0A74">
        <w:rPr>
          <w:rFonts w:eastAsia="SimSun" w:cs="Arial"/>
          <w:lang w:eastAsia="zh-CN"/>
        </w:rPr>
        <w:t>Norreklit</w:t>
      </w:r>
      <w:proofErr w:type="spellEnd"/>
      <w:r w:rsidRPr="002C0A74">
        <w:rPr>
          <w:rFonts w:eastAsia="SimSun" w:cs="Arial"/>
          <w:lang w:eastAsia="zh-CN"/>
        </w:rPr>
        <w:t xml:space="preserve">, H. (2000). </w:t>
      </w:r>
      <w:proofErr w:type="gramStart"/>
      <w:r w:rsidRPr="002C0A74">
        <w:rPr>
          <w:rFonts w:eastAsia="SimSun" w:cs="Arial"/>
          <w:lang w:eastAsia="zh-CN"/>
        </w:rPr>
        <w:t>The balance on the balanced scorecard a critical analysis of some of its assumptions.</w:t>
      </w:r>
      <w:proofErr w:type="gramEnd"/>
      <w:r w:rsidRPr="002C0A74">
        <w:rPr>
          <w:rFonts w:eastAsia="SimSun" w:cs="Arial"/>
          <w:lang w:eastAsia="zh-CN"/>
        </w:rPr>
        <w:t xml:space="preserve"> </w:t>
      </w:r>
      <w:proofErr w:type="gramStart"/>
      <w:r w:rsidRPr="002C0A74">
        <w:rPr>
          <w:rFonts w:eastAsia="SimSun" w:cs="Arial"/>
          <w:i/>
          <w:iCs/>
          <w:lang w:eastAsia="zh-CN"/>
        </w:rPr>
        <w:t>Management Accounting Research</w:t>
      </w:r>
      <w:r w:rsidRPr="002C0A74">
        <w:rPr>
          <w:rFonts w:eastAsia="SimSun" w:cs="Arial"/>
          <w:lang w:eastAsia="zh-CN"/>
        </w:rPr>
        <w:t xml:space="preserve"> 11 (1), pp65-88.</w:t>
      </w:r>
      <w:proofErr w:type="gramEnd"/>
    </w:p>
    <w:p w:rsidR="00021137" w:rsidRPr="002C0A74" w:rsidRDefault="00021137" w:rsidP="00021137">
      <w:pPr>
        <w:autoSpaceDE w:val="0"/>
        <w:autoSpaceDN w:val="0"/>
        <w:adjustRightInd w:val="0"/>
        <w:spacing w:after="0" w:line="240" w:lineRule="auto"/>
        <w:rPr>
          <w:rFonts w:cs="Arial"/>
        </w:rPr>
      </w:pPr>
      <w:r w:rsidRPr="002C0A74">
        <w:rPr>
          <w:rFonts w:eastAsia="SimSun" w:cs="Arial"/>
          <w:lang w:eastAsia="zh-CN"/>
        </w:rPr>
        <w:t>NVCO</w:t>
      </w:r>
      <w:r w:rsidRPr="002C0A74">
        <w:rPr>
          <w:rFonts w:cs="Arial"/>
        </w:rPr>
        <w:t xml:space="preserve"> (2013a) Cuts report </w:t>
      </w:r>
      <w:hyperlink r:id="rId22" w:history="1">
        <w:r w:rsidRPr="002C0A74">
          <w:rPr>
            <w:color w:val="0000FF"/>
            <w:u w:val="single"/>
          </w:rPr>
          <w:t>http://www.ncvo-vol.org.uk/cuts-report</w:t>
        </w:r>
      </w:hyperlink>
      <w:r w:rsidRPr="002C0A74">
        <w:t xml:space="preserve"> </w:t>
      </w:r>
      <w:r w:rsidRPr="002C0A74">
        <w:rPr>
          <w:rFonts w:cs="Arial"/>
        </w:rPr>
        <w:t xml:space="preserve"> accessed 2</w:t>
      </w:r>
      <w:r w:rsidRPr="002C0A74">
        <w:rPr>
          <w:rFonts w:cs="Arial"/>
          <w:vertAlign w:val="superscript"/>
        </w:rPr>
        <w:t>nd</w:t>
      </w:r>
      <w:r w:rsidRPr="002C0A74">
        <w:rPr>
          <w:rFonts w:cs="Arial"/>
        </w:rPr>
        <w:t xml:space="preserve"> August 2013</w:t>
      </w:r>
    </w:p>
    <w:p w:rsidR="00021137" w:rsidRPr="002C0A74" w:rsidRDefault="00021137" w:rsidP="00021137">
      <w:pPr>
        <w:autoSpaceDE w:val="0"/>
        <w:autoSpaceDN w:val="0"/>
        <w:adjustRightInd w:val="0"/>
        <w:spacing w:after="0" w:line="240" w:lineRule="auto"/>
        <w:rPr>
          <w:rFonts w:eastAsia="SimSun" w:cs="Arial"/>
          <w:lang w:eastAsia="zh-CN"/>
        </w:rPr>
      </w:pPr>
    </w:p>
    <w:p w:rsidR="00021137" w:rsidRPr="002C0A74" w:rsidRDefault="00021137" w:rsidP="00021137">
      <w:pPr>
        <w:autoSpaceDE w:val="0"/>
        <w:autoSpaceDN w:val="0"/>
        <w:adjustRightInd w:val="0"/>
        <w:spacing w:after="0" w:line="240" w:lineRule="auto"/>
        <w:ind w:left="720" w:hanging="720"/>
        <w:rPr>
          <w:rFonts w:eastAsia="SimSun" w:cs="Arial"/>
          <w:lang w:eastAsia="zh-CN"/>
        </w:rPr>
      </w:pPr>
      <w:r w:rsidRPr="002C0A74">
        <w:rPr>
          <w:rFonts w:eastAsia="SimSun" w:cs="Arial"/>
          <w:lang w:eastAsia="zh-CN"/>
        </w:rPr>
        <w:t>Ogain</w:t>
      </w:r>
      <w:proofErr w:type="gramStart"/>
      <w:r w:rsidRPr="002C0A74">
        <w:rPr>
          <w:rFonts w:eastAsia="SimSun" w:cs="Arial"/>
          <w:lang w:eastAsia="zh-CN"/>
        </w:rPr>
        <w:t>,E</w:t>
      </w:r>
      <w:proofErr w:type="gramEnd"/>
      <w:r w:rsidRPr="002C0A74">
        <w:rPr>
          <w:rFonts w:eastAsia="SimSun" w:cs="Arial"/>
          <w:lang w:eastAsia="zh-CN"/>
        </w:rPr>
        <w:t>.,</w:t>
      </w:r>
      <w:proofErr w:type="spellStart"/>
      <w:r w:rsidRPr="002C0A74">
        <w:rPr>
          <w:rFonts w:eastAsia="SimSun" w:cs="Arial"/>
          <w:lang w:eastAsia="zh-CN"/>
        </w:rPr>
        <w:t>Lumley,T</w:t>
      </w:r>
      <w:proofErr w:type="spellEnd"/>
      <w:r w:rsidRPr="002C0A74">
        <w:rPr>
          <w:rFonts w:eastAsia="SimSun" w:cs="Arial"/>
          <w:lang w:eastAsia="zh-CN"/>
        </w:rPr>
        <w:t xml:space="preserve">. and </w:t>
      </w:r>
      <w:proofErr w:type="spellStart"/>
      <w:r w:rsidRPr="002C0A74">
        <w:rPr>
          <w:rFonts w:eastAsia="SimSun" w:cs="Arial"/>
          <w:lang w:eastAsia="zh-CN"/>
        </w:rPr>
        <w:t>Pritchard,D</w:t>
      </w:r>
      <w:proofErr w:type="spellEnd"/>
      <w:r w:rsidRPr="002C0A74">
        <w:rPr>
          <w:rFonts w:eastAsia="SimSun" w:cs="Arial"/>
          <w:lang w:eastAsia="zh-CN"/>
        </w:rPr>
        <w:t>.(2012</w:t>
      </w:r>
      <w:r w:rsidRPr="00C80E25">
        <w:rPr>
          <w:rFonts w:eastAsia="SimSun" w:cs="Arial"/>
          <w:i/>
          <w:lang w:eastAsia="zh-CN"/>
        </w:rPr>
        <w:t>) Making an Impact New Philanthropic Capital</w:t>
      </w:r>
      <w:r w:rsidRPr="002C0A74">
        <w:rPr>
          <w:rFonts w:eastAsia="SimSun" w:cs="Arial"/>
          <w:lang w:eastAsia="zh-CN"/>
        </w:rPr>
        <w:t xml:space="preserve"> available at  </w:t>
      </w:r>
      <w:hyperlink r:id="rId23" w:history="1">
        <w:r w:rsidRPr="002C0A74">
          <w:rPr>
            <w:rFonts w:eastAsia="SimSun" w:cs="Arial"/>
            <w:color w:val="0000FF"/>
            <w:u w:val="single"/>
            <w:lang w:eastAsia="zh-CN"/>
          </w:rPr>
          <w:t>http://www.thinknpc.org/publications/making-an-impact</w:t>
        </w:r>
      </w:hyperlink>
      <w:r w:rsidRPr="002C0A74">
        <w:rPr>
          <w:rFonts w:eastAsia="SimSun" w:cs="Arial"/>
          <w:lang w:eastAsia="zh-CN"/>
        </w:rPr>
        <w:t xml:space="preserve"> accessed  29 May 2013</w:t>
      </w:r>
    </w:p>
    <w:p w:rsidR="00021137" w:rsidRPr="002C0A74" w:rsidRDefault="00021137" w:rsidP="00021137">
      <w:pPr>
        <w:kinsoku w:val="0"/>
        <w:overflowPunct w:val="0"/>
        <w:spacing w:before="77" w:after="0" w:line="216" w:lineRule="auto"/>
        <w:ind w:left="547" w:hanging="547"/>
        <w:textAlignment w:val="baseline"/>
        <w:rPr>
          <w:rFonts w:cs="Arial"/>
          <w:color w:val="000000"/>
          <w:lang w:eastAsia="en-GB"/>
        </w:rPr>
      </w:pPr>
      <w:proofErr w:type="spellStart"/>
      <w:r w:rsidRPr="002C0A74">
        <w:rPr>
          <w:rFonts w:cs="Arial"/>
          <w:color w:val="000000"/>
          <w:lang w:eastAsia="en-GB"/>
        </w:rPr>
        <w:t>Ouchi</w:t>
      </w:r>
      <w:proofErr w:type="spellEnd"/>
      <w:r w:rsidRPr="002C0A74">
        <w:rPr>
          <w:rFonts w:cs="Arial"/>
          <w:color w:val="000000"/>
          <w:lang w:eastAsia="en-GB"/>
        </w:rPr>
        <w:t>, W (1979</w:t>
      </w:r>
      <w:proofErr w:type="gramStart"/>
      <w:r w:rsidRPr="002C0A74">
        <w:rPr>
          <w:rFonts w:cs="Arial"/>
          <w:color w:val="000000"/>
          <w:lang w:eastAsia="en-GB"/>
        </w:rPr>
        <w:t>)  A</w:t>
      </w:r>
      <w:proofErr w:type="gramEnd"/>
      <w:r w:rsidRPr="002C0A74">
        <w:rPr>
          <w:rFonts w:cs="Arial"/>
          <w:color w:val="000000"/>
          <w:lang w:eastAsia="en-GB"/>
        </w:rPr>
        <w:t xml:space="preserve"> conceptual framework for the design of organisational control mechanisms </w:t>
      </w:r>
      <w:r w:rsidRPr="002C0A74">
        <w:rPr>
          <w:rFonts w:cs="Arial"/>
          <w:i/>
          <w:color w:val="000000"/>
          <w:lang w:eastAsia="en-GB"/>
        </w:rPr>
        <w:t>Management Science</w:t>
      </w:r>
      <w:r w:rsidRPr="002C0A74">
        <w:rPr>
          <w:rFonts w:cs="Arial"/>
          <w:color w:val="000000"/>
          <w:lang w:eastAsia="en-GB"/>
        </w:rPr>
        <w:t xml:space="preserve"> Vol 25, (9) pp833-848</w:t>
      </w:r>
    </w:p>
    <w:p w:rsidR="00021137" w:rsidRDefault="00021137" w:rsidP="00021137">
      <w:pPr>
        <w:autoSpaceDE w:val="0"/>
        <w:autoSpaceDN w:val="0"/>
        <w:adjustRightInd w:val="0"/>
        <w:spacing w:after="0" w:line="240" w:lineRule="auto"/>
        <w:ind w:left="720" w:hanging="720"/>
        <w:rPr>
          <w:rFonts w:eastAsia="Batang" w:cs="Arial"/>
          <w:lang w:eastAsia="ko-KR"/>
        </w:rPr>
      </w:pPr>
      <w:proofErr w:type="spellStart"/>
      <w:r>
        <w:rPr>
          <w:rFonts w:cs="Arial"/>
          <w:color w:val="000000"/>
          <w:kern w:val="36"/>
        </w:rPr>
        <w:t>Poister</w:t>
      </w:r>
      <w:proofErr w:type="gramStart"/>
      <w:r>
        <w:rPr>
          <w:rFonts w:cs="Arial"/>
          <w:color w:val="000000"/>
          <w:kern w:val="36"/>
        </w:rPr>
        <w:t>,T.H</w:t>
      </w:r>
      <w:proofErr w:type="spellEnd"/>
      <w:proofErr w:type="gramEnd"/>
      <w:r>
        <w:rPr>
          <w:rFonts w:cs="Arial"/>
          <w:color w:val="000000"/>
          <w:kern w:val="36"/>
        </w:rPr>
        <w:t xml:space="preserve">.(2003) </w:t>
      </w:r>
      <w:r w:rsidRPr="00D5105E">
        <w:rPr>
          <w:rFonts w:cs="Arial"/>
          <w:color w:val="000000"/>
          <w:kern w:val="36"/>
        </w:rPr>
        <w:t xml:space="preserve">Measuring Performance in Public and </w:t>
      </w:r>
      <w:proofErr w:type="spellStart"/>
      <w:r w:rsidRPr="00D5105E">
        <w:rPr>
          <w:rFonts w:cs="Arial"/>
          <w:color w:val="000000"/>
          <w:kern w:val="36"/>
        </w:rPr>
        <w:t>Nonprofit</w:t>
      </w:r>
      <w:proofErr w:type="spellEnd"/>
      <w:r w:rsidRPr="00D5105E">
        <w:rPr>
          <w:rFonts w:cs="Arial"/>
          <w:color w:val="000000"/>
          <w:kern w:val="36"/>
        </w:rPr>
        <w:t xml:space="preserve"> Organizations</w:t>
      </w:r>
      <w:r>
        <w:rPr>
          <w:rFonts w:cs="Arial"/>
          <w:color w:val="000000"/>
          <w:kern w:val="36"/>
        </w:rPr>
        <w:t xml:space="preserve"> Wiley: San </w:t>
      </w:r>
      <w:proofErr w:type="spellStart"/>
      <w:r>
        <w:rPr>
          <w:rFonts w:cs="Arial"/>
          <w:color w:val="000000"/>
          <w:kern w:val="36"/>
        </w:rPr>
        <w:t>Fransico</w:t>
      </w:r>
      <w:proofErr w:type="spellEnd"/>
    </w:p>
    <w:p w:rsidR="00021137" w:rsidRPr="002C0A74" w:rsidRDefault="00021137" w:rsidP="00021137">
      <w:pPr>
        <w:autoSpaceDE w:val="0"/>
        <w:autoSpaceDN w:val="0"/>
        <w:adjustRightInd w:val="0"/>
        <w:spacing w:after="0" w:line="240" w:lineRule="auto"/>
        <w:ind w:left="720" w:hanging="720"/>
        <w:rPr>
          <w:rFonts w:eastAsia="Batang" w:cs="Arial"/>
          <w:lang w:eastAsia="ko-KR"/>
        </w:rPr>
      </w:pPr>
      <w:r w:rsidRPr="002C0A74">
        <w:rPr>
          <w:rFonts w:eastAsia="Batang" w:cs="Arial"/>
          <w:lang w:eastAsia="ko-KR"/>
        </w:rPr>
        <w:t xml:space="preserve">Ritchie, W. J. and </w:t>
      </w:r>
      <w:proofErr w:type="spellStart"/>
      <w:r w:rsidRPr="002C0A74">
        <w:rPr>
          <w:rFonts w:eastAsia="Batang" w:cs="Arial"/>
          <w:lang w:eastAsia="ko-KR"/>
        </w:rPr>
        <w:t>Kolodinsky</w:t>
      </w:r>
      <w:proofErr w:type="spellEnd"/>
      <w:r w:rsidRPr="002C0A74">
        <w:rPr>
          <w:rFonts w:eastAsia="Batang" w:cs="Arial"/>
          <w:lang w:eastAsia="ko-KR"/>
        </w:rPr>
        <w:t xml:space="preserve">, R. W. (2003) </w:t>
      </w:r>
      <w:proofErr w:type="spellStart"/>
      <w:r w:rsidRPr="002C0A74">
        <w:rPr>
          <w:rFonts w:eastAsia="Batang" w:cs="Arial"/>
          <w:lang w:eastAsia="ko-KR"/>
        </w:rPr>
        <w:t>Nonprofit</w:t>
      </w:r>
      <w:proofErr w:type="spellEnd"/>
      <w:r w:rsidRPr="002C0A74">
        <w:rPr>
          <w:rFonts w:eastAsia="Batang" w:cs="Arial"/>
          <w:lang w:eastAsia="ko-KR"/>
        </w:rPr>
        <w:t xml:space="preserve"> Organization Financial Performance Measurement: An Evaluation of New and Existing Financial Performance Measures. </w:t>
      </w:r>
      <w:proofErr w:type="spellStart"/>
      <w:r w:rsidRPr="002C0A74">
        <w:rPr>
          <w:rFonts w:eastAsia="Batang" w:cs="Arial"/>
          <w:i/>
          <w:iCs/>
          <w:lang w:eastAsia="ko-KR"/>
        </w:rPr>
        <w:t>Nonprofit</w:t>
      </w:r>
      <w:proofErr w:type="spellEnd"/>
      <w:r w:rsidRPr="002C0A74">
        <w:rPr>
          <w:rFonts w:eastAsia="Batang" w:cs="Arial"/>
          <w:i/>
          <w:iCs/>
          <w:lang w:eastAsia="ko-KR"/>
        </w:rPr>
        <w:t xml:space="preserve"> Management &amp; Leadership</w:t>
      </w:r>
      <w:r w:rsidRPr="002C0A74">
        <w:rPr>
          <w:rFonts w:eastAsia="Batang" w:cs="Arial"/>
          <w:lang w:eastAsia="ko-KR"/>
        </w:rPr>
        <w:t xml:space="preserve"> 13 (4), p.367.</w:t>
      </w:r>
    </w:p>
    <w:p w:rsidR="00DE5379" w:rsidRDefault="00021137" w:rsidP="00DE5379">
      <w:pPr>
        <w:spacing w:line="360" w:lineRule="auto"/>
        <w:rPr>
          <w:i/>
        </w:rPr>
      </w:pPr>
      <w:proofErr w:type="spellStart"/>
      <w:r>
        <w:t>Saunders</w:t>
      </w:r>
      <w:proofErr w:type="gramStart"/>
      <w:r>
        <w:t>,C</w:t>
      </w:r>
      <w:proofErr w:type="spellEnd"/>
      <w:proofErr w:type="gramEnd"/>
      <w:r>
        <w:t xml:space="preserve"> . (2001) The evolution of palliative care</w:t>
      </w:r>
      <w:r w:rsidRPr="00A4777C">
        <w:t xml:space="preserve"> </w:t>
      </w:r>
      <w:r w:rsidRPr="00A4777C">
        <w:rPr>
          <w:i/>
        </w:rPr>
        <w:t xml:space="preserve">Journal of the </w:t>
      </w:r>
      <w:r w:rsidR="00DE5379">
        <w:rPr>
          <w:i/>
        </w:rPr>
        <w:t xml:space="preserve">Royal Society of Medicine </w:t>
      </w:r>
      <w:proofErr w:type="spellStart"/>
      <w:proofErr w:type="gramStart"/>
      <w:r w:rsidR="00DE5379">
        <w:rPr>
          <w:i/>
        </w:rPr>
        <w:t>vol</w:t>
      </w:r>
      <w:proofErr w:type="spellEnd"/>
      <w:r w:rsidR="00DE5379">
        <w:rPr>
          <w:i/>
        </w:rPr>
        <w:t xml:space="preserve">  94</w:t>
      </w:r>
      <w:proofErr w:type="gramEnd"/>
    </w:p>
    <w:p w:rsidR="00021137" w:rsidRPr="002C0A74" w:rsidRDefault="00021137" w:rsidP="00DE5379">
      <w:pPr>
        <w:spacing w:line="360" w:lineRule="auto"/>
        <w:rPr>
          <w:rFonts w:eastAsia="Batang" w:cs="Arial"/>
          <w:lang w:eastAsia="ko-KR"/>
        </w:rPr>
      </w:pPr>
      <w:proofErr w:type="spellStart"/>
      <w:r w:rsidRPr="002C0A74">
        <w:rPr>
          <w:rFonts w:eastAsia="Batang" w:cs="Arial"/>
          <w:lang w:eastAsia="ko-KR"/>
        </w:rPr>
        <w:t>Sawhill</w:t>
      </w:r>
      <w:proofErr w:type="spellEnd"/>
      <w:r w:rsidRPr="002C0A74">
        <w:rPr>
          <w:rFonts w:eastAsia="Batang" w:cs="Arial"/>
          <w:lang w:eastAsia="ko-KR"/>
        </w:rPr>
        <w:t xml:space="preserve">, J. C. and Williamson, D. (2001) Mission Impossible? </w:t>
      </w:r>
      <w:proofErr w:type="spellStart"/>
      <w:r w:rsidRPr="002C0A74">
        <w:rPr>
          <w:rFonts w:eastAsia="Batang" w:cs="Arial"/>
          <w:i/>
          <w:iCs/>
          <w:lang w:eastAsia="ko-KR"/>
        </w:rPr>
        <w:t>Nonprofit</w:t>
      </w:r>
      <w:proofErr w:type="spellEnd"/>
      <w:r w:rsidRPr="002C0A74">
        <w:rPr>
          <w:rFonts w:eastAsia="Batang" w:cs="Arial"/>
          <w:i/>
          <w:iCs/>
          <w:lang w:eastAsia="ko-KR"/>
        </w:rPr>
        <w:t xml:space="preserve"> Management &amp; Leadership</w:t>
      </w:r>
      <w:r w:rsidRPr="002C0A74">
        <w:rPr>
          <w:rFonts w:eastAsia="Batang" w:cs="Arial"/>
          <w:lang w:eastAsia="ko-KR"/>
        </w:rPr>
        <w:t xml:space="preserve"> 11 (3), p.371.</w:t>
      </w:r>
    </w:p>
    <w:p w:rsidR="00021137" w:rsidRDefault="00021137" w:rsidP="00021137">
      <w:pPr>
        <w:spacing w:after="0" w:line="240" w:lineRule="auto"/>
        <w:contextualSpacing/>
        <w:textAlignment w:val="baseline"/>
        <w:rPr>
          <w:sz w:val="24"/>
          <w:szCs w:val="24"/>
          <w:lang w:eastAsia="en-GB"/>
        </w:rPr>
      </w:pPr>
      <w:r w:rsidRPr="00D5105E">
        <w:rPr>
          <w:sz w:val="24"/>
          <w:szCs w:val="24"/>
          <w:lang w:eastAsia="en-GB"/>
        </w:rPr>
        <w:t>All references to hospices SIR</w:t>
      </w:r>
      <w:r>
        <w:rPr>
          <w:sz w:val="24"/>
          <w:szCs w:val="24"/>
          <w:lang w:eastAsia="en-GB"/>
        </w:rPr>
        <w:t>s</w:t>
      </w:r>
      <w:r w:rsidRPr="00D5105E">
        <w:rPr>
          <w:sz w:val="24"/>
          <w:szCs w:val="24"/>
          <w:lang w:eastAsia="en-GB"/>
        </w:rPr>
        <w:t xml:space="preserve"> </w:t>
      </w:r>
      <w:r w:rsidR="003822B8">
        <w:rPr>
          <w:sz w:val="24"/>
          <w:szCs w:val="24"/>
          <w:lang w:eastAsia="en-GB"/>
        </w:rPr>
        <w:t xml:space="preserve">and TARs </w:t>
      </w:r>
      <w:r w:rsidRPr="00D5105E">
        <w:rPr>
          <w:sz w:val="24"/>
          <w:szCs w:val="24"/>
          <w:lang w:eastAsia="en-GB"/>
        </w:rPr>
        <w:t>can be found on the Charity Commission website</w:t>
      </w:r>
    </w:p>
    <w:p w:rsidR="00021137" w:rsidRPr="00D5105E" w:rsidRDefault="00E50D12" w:rsidP="00021137">
      <w:pPr>
        <w:spacing w:after="0" w:line="240" w:lineRule="auto"/>
        <w:contextualSpacing/>
        <w:textAlignment w:val="baseline"/>
        <w:rPr>
          <w:sz w:val="24"/>
          <w:szCs w:val="24"/>
          <w:lang w:eastAsia="en-GB"/>
        </w:rPr>
      </w:pPr>
      <w:hyperlink r:id="rId24" w:history="1">
        <w:r w:rsidR="00021137" w:rsidRPr="00AE4B66">
          <w:rPr>
            <w:rStyle w:val="Hyperlink"/>
            <w:sz w:val="24"/>
            <w:szCs w:val="24"/>
            <w:lang w:eastAsia="en-GB"/>
          </w:rPr>
          <w:t>http://www.charitycommission.gov.uk/</w:t>
        </w:r>
      </w:hyperlink>
      <w:r w:rsidR="00021137">
        <w:rPr>
          <w:sz w:val="24"/>
          <w:szCs w:val="24"/>
          <w:lang w:eastAsia="en-GB"/>
        </w:rPr>
        <w:t xml:space="preserve"> accessed between 26 April 2013 and 29 June 201</w:t>
      </w:r>
      <w:r w:rsidR="003822B8">
        <w:rPr>
          <w:sz w:val="24"/>
          <w:szCs w:val="24"/>
          <w:lang w:eastAsia="en-GB"/>
        </w:rPr>
        <w:t xml:space="preserve">4 </w:t>
      </w:r>
    </w:p>
    <w:p w:rsidR="008A7628" w:rsidRDefault="008A7628" w:rsidP="008A7628">
      <w:pPr>
        <w:contextualSpacing/>
        <w:rPr>
          <w:rFonts w:asciiTheme="minorHAnsi" w:eastAsiaTheme="minorHAnsi" w:hAnsiTheme="minorHAnsi" w:cstheme="minorBidi"/>
          <w:b/>
          <w:sz w:val="28"/>
          <w:szCs w:val="28"/>
        </w:rPr>
      </w:pPr>
    </w:p>
    <w:p w:rsidR="003822B8" w:rsidRDefault="003822B8" w:rsidP="008A7628">
      <w:pPr>
        <w:contextualSpacing/>
        <w:rPr>
          <w:rFonts w:asciiTheme="minorHAnsi" w:eastAsiaTheme="minorHAnsi" w:hAnsiTheme="minorHAnsi" w:cstheme="minorBidi"/>
          <w:b/>
          <w:sz w:val="28"/>
          <w:szCs w:val="28"/>
        </w:rPr>
      </w:pPr>
    </w:p>
    <w:p w:rsidR="003822B8" w:rsidRDefault="003822B8">
      <w:pPr>
        <w:contextualSpacing/>
        <w:rPr>
          <w:rFonts w:asciiTheme="minorHAnsi" w:eastAsiaTheme="minorHAnsi" w:hAnsiTheme="minorHAnsi" w:cstheme="minorBidi"/>
          <w:b/>
          <w:sz w:val="28"/>
          <w:szCs w:val="28"/>
        </w:rPr>
      </w:pPr>
    </w:p>
    <w:sectPr w:rsidR="003822B8">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D12" w:rsidRDefault="00E50D12" w:rsidP="00683ADF">
      <w:pPr>
        <w:spacing w:after="0" w:line="240" w:lineRule="auto"/>
      </w:pPr>
      <w:r>
        <w:separator/>
      </w:r>
    </w:p>
  </w:endnote>
  <w:endnote w:type="continuationSeparator" w:id="0">
    <w:p w:rsidR="00E50D12" w:rsidRDefault="00E50D12" w:rsidP="0068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Dax-Bold">
    <w:panose1 w:val="00000000000000000000"/>
    <w:charset w:val="00"/>
    <w:family w:val="swiss"/>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832910"/>
      <w:docPartObj>
        <w:docPartGallery w:val="Page Numbers (Bottom of Page)"/>
        <w:docPartUnique/>
      </w:docPartObj>
    </w:sdtPr>
    <w:sdtEndPr>
      <w:rPr>
        <w:noProof/>
      </w:rPr>
    </w:sdtEndPr>
    <w:sdtContent>
      <w:p w:rsidR="00683ADF" w:rsidRDefault="00683ADF">
        <w:pPr>
          <w:pStyle w:val="Footer"/>
          <w:jc w:val="center"/>
        </w:pPr>
        <w:r>
          <w:fldChar w:fldCharType="begin"/>
        </w:r>
        <w:r>
          <w:instrText xml:space="preserve"> PAGE   \* MERGEFORMAT </w:instrText>
        </w:r>
        <w:r>
          <w:fldChar w:fldCharType="separate"/>
        </w:r>
        <w:r w:rsidR="00DD0E33">
          <w:rPr>
            <w:noProof/>
          </w:rPr>
          <w:t>1</w:t>
        </w:r>
        <w:r>
          <w:rPr>
            <w:noProof/>
          </w:rPr>
          <w:fldChar w:fldCharType="end"/>
        </w:r>
      </w:p>
    </w:sdtContent>
  </w:sdt>
  <w:p w:rsidR="00683ADF" w:rsidRDefault="00683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D12" w:rsidRDefault="00E50D12" w:rsidP="00683ADF">
      <w:pPr>
        <w:spacing w:after="0" w:line="240" w:lineRule="auto"/>
      </w:pPr>
      <w:r>
        <w:separator/>
      </w:r>
    </w:p>
  </w:footnote>
  <w:footnote w:type="continuationSeparator" w:id="0">
    <w:p w:rsidR="00E50D12" w:rsidRDefault="00E50D12" w:rsidP="00683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B5083"/>
    <w:multiLevelType w:val="hybridMultilevel"/>
    <w:tmpl w:val="6930B974"/>
    <w:lvl w:ilvl="0" w:tplc="C14AD0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5D"/>
    <w:rsid w:val="00002ABE"/>
    <w:rsid w:val="00003CE1"/>
    <w:rsid w:val="00021137"/>
    <w:rsid w:val="000471FE"/>
    <w:rsid w:val="000554C2"/>
    <w:rsid w:val="0006067D"/>
    <w:rsid w:val="0006217A"/>
    <w:rsid w:val="00067C9D"/>
    <w:rsid w:val="000F76EE"/>
    <w:rsid w:val="00133E58"/>
    <w:rsid w:val="00175DA4"/>
    <w:rsid w:val="001C085E"/>
    <w:rsid w:val="0021075A"/>
    <w:rsid w:val="00242508"/>
    <w:rsid w:val="002510B0"/>
    <w:rsid w:val="002719A6"/>
    <w:rsid w:val="00274592"/>
    <w:rsid w:val="002747A7"/>
    <w:rsid w:val="00300DA6"/>
    <w:rsid w:val="00314EE9"/>
    <w:rsid w:val="00320528"/>
    <w:rsid w:val="003309A0"/>
    <w:rsid w:val="003822B8"/>
    <w:rsid w:val="003B5B45"/>
    <w:rsid w:val="003C72C3"/>
    <w:rsid w:val="003E4E91"/>
    <w:rsid w:val="003F0F04"/>
    <w:rsid w:val="00450C75"/>
    <w:rsid w:val="004A33E6"/>
    <w:rsid w:val="004C7C47"/>
    <w:rsid w:val="004E3821"/>
    <w:rsid w:val="004E5C8A"/>
    <w:rsid w:val="004F01B9"/>
    <w:rsid w:val="00505B22"/>
    <w:rsid w:val="00515AA0"/>
    <w:rsid w:val="0053536E"/>
    <w:rsid w:val="00583778"/>
    <w:rsid w:val="006045A1"/>
    <w:rsid w:val="00610F94"/>
    <w:rsid w:val="00622E6D"/>
    <w:rsid w:val="00625D62"/>
    <w:rsid w:val="00631850"/>
    <w:rsid w:val="006601FD"/>
    <w:rsid w:val="00683ADF"/>
    <w:rsid w:val="006C49B1"/>
    <w:rsid w:val="006D087F"/>
    <w:rsid w:val="006D34C4"/>
    <w:rsid w:val="006D7085"/>
    <w:rsid w:val="006E2CD9"/>
    <w:rsid w:val="006F1FD5"/>
    <w:rsid w:val="00703E3C"/>
    <w:rsid w:val="007739CE"/>
    <w:rsid w:val="00784268"/>
    <w:rsid w:val="007C1D3D"/>
    <w:rsid w:val="007C7988"/>
    <w:rsid w:val="0087032C"/>
    <w:rsid w:val="008A52B5"/>
    <w:rsid w:val="008A7628"/>
    <w:rsid w:val="008C6F3D"/>
    <w:rsid w:val="008F4DAF"/>
    <w:rsid w:val="009264B0"/>
    <w:rsid w:val="00973DB2"/>
    <w:rsid w:val="009B0EC8"/>
    <w:rsid w:val="009F1F9F"/>
    <w:rsid w:val="00A649C9"/>
    <w:rsid w:val="00AC7B0A"/>
    <w:rsid w:val="00AE3CA1"/>
    <w:rsid w:val="00AF71C2"/>
    <w:rsid w:val="00BB0E9E"/>
    <w:rsid w:val="00BC0280"/>
    <w:rsid w:val="00BE0697"/>
    <w:rsid w:val="00BF4DE4"/>
    <w:rsid w:val="00C12426"/>
    <w:rsid w:val="00C2075D"/>
    <w:rsid w:val="00C8208F"/>
    <w:rsid w:val="00CC77B9"/>
    <w:rsid w:val="00D17F3D"/>
    <w:rsid w:val="00D27A08"/>
    <w:rsid w:val="00D51E48"/>
    <w:rsid w:val="00D810AF"/>
    <w:rsid w:val="00D96100"/>
    <w:rsid w:val="00DD0E33"/>
    <w:rsid w:val="00DE5379"/>
    <w:rsid w:val="00E14285"/>
    <w:rsid w:val="00E50D12"/>
    <w:rsid w:val="00E57704"/>
    <w:rsid w:val="00E67C63"/>
    <w:rsid w:val="00E86FB4"/>
    <w:rsid w:val="00EA4728"/>
    <w:rsid w:val="00EB7AFD"/>
    <w:rsid w:val="00F2670E"/>
    <w:rsid w:val="00F400D8"/>
    <w:rsid w:val="00F75BD6"/>
    <w:rsid w:val="00F76B5C"/>
    <w:rsid w:val="00F84BF7"/>
    <w:rsid w:val="00FD3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75D"/>
    <w:rPr>
      <w:rFonts w:ascii="Tahoma" w:eastAsia="Calibri" w:hAnsi="Tahoma" w:cs="Tahoma"/>
      <w:sz w:val="16"/>
      <w:szCs w:val="16"/>
    </w:rPr>
  </w:style>
  <w:style w:type="table" w:styleId="TableGrid">
    <w:name w:val="Table Grid"/>
    <w:basedOn w:val="TableNormal"/>
    <w:uiPriority w:val="59"/>
    <w:rsid w:val="006C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21137"/>
    <w:rPr>
      <w:rFonts w:cs="Times New Roman"/>
      <w:color w:val="0000FF"/>
      <w:u w:val="single"/>
    </w:rPr>
  </w:style>
  <w:style w:type="character" w:customStyle="1" w:styleId="referencesChar">
    <w:name w:val="references Char"/>
    <w:link w:val="references"/>
    <w:uiPriority w:val="99"/>
    <w:locked/>
    <w:rsid w:val="00021137"/>
    <w:rPr>
      <w:rFonts w:ascii="Arial" w:eastAsia="SimSun" w:hAnsi="Arial"/>
    </w:rPr>
  </w:style>
  <w:style w:type="paragraph" w:customStyle="1" w:styleId="references">
    <w:name w:val="references"/>
    <w:basedOn w:val="Normal"/>
    <w:link w:val="referencesChar"/>
    <w:uiPriority w:val="99"/>
    <w:rsid w:val="00021137"/>
    <w:pPr>
      <w:spacing w:after="0" w:line="240" w:lineRule="auto"/>
      <w:ind w:left="284" w:hanging="284"/>
      <w:jc w:val="both"/>
    </w:pPr>
    <w:rPr>
      <w:rFonts w:ascii="Arial" w:eastAsia="SimSun" w:hAnsi="Arial" w:cstheme="minorBidi"/>
    </w:rPr>
  </w:style>
  <w:style w:type="character" w:customStyle="1" w:styleId="apple-style-span">
    <w:name w:val="apple-style-span"/>
    <w:uiPriority w:val="99"/>
    <w:rsid w:val="00021137"/>
    <w:rPr>
      <w:rFonts w:ascii="Times New Roman" w:hAnsi="Times New Roman"/>
    </w:rPr>
  </w:style>
  <w:style w:type="paragraph" w:styleId="NormalWeb">
    <w:name w:val="Normal (Web)"/>
    <w:basedOn w:val="Normal"/>
    <w:uiPriority w:val="99"/>
    <w:unhideWhenUsed/>
    <w:rsid w:val="000471FE"/>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683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ADF"/>
    <w:rPr>
      <w:rFonts w:ascii="Calibri" w:eastAsia="Calibri" w:hAnsi="Calibri" w:cs="Times New Roman"/>
    </w:rPr>
  </w:style>
  <w:style w:type="paragraph" w:styleId="Footer">
    <w:name w:val="footer"/>
    <w:basedOn w:val="Normal"/>
    <w:link w:val="FooterChar"/>
    <w:uiPriority w:val="99"/>
    <w:unhideWhenUsed/>
    <w:rsid w:val="00683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AD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75D"/>
    <w:rPr>
      <w:rFonts w:ascii="Tahoma" w:eastAsia="Calibri" w:hAnsi="Tahoma" w:cs="Tahoma"/>
      <w:sz w:val="16"/>
      <w:szCs w:val="16"/>
    </w:rPr>
  </w:style>
  <w:style w:type="table" w:styleId="TableGrid">
    <w:name w:val="Table Grid"/>
    <w:basedOn w:val="TableNormal"/>
    <w:uiPriority w:val="59"/>
    <w:rsid w:val="006C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21137"/>
    <w:rPr>
      <w:rFonts w:cs="Times New Roman"/>
      <w:color w:val="0000FF"/>
      <w:u w:val="single"/>
    </w:rPr>
  </w:style>
  <w:style w:type="character" w:customStyle="1" w:styleId="referencesChar">
    <w:name w:val="references Char"/>
    <w:link w:val="references"/>
    <w:uiPriority w:val="99"/>
    <w:locked/>
    <w:rsid w:val="00021137"/>
    <w:rPr>
      <w:rFonts w:ascii="Arial" w:eastAsia="SimSun" w:hAnsi="Arial"/>
    </w:rPr>
  </w:style>
  <w:style w:type="paragraph" w:customStyle="1" w:styleId="references">
    <w:name w:val="references"/>
    <w:basedOn w:val="Normal"/>
    <w:link w:val="referencesChar"/>
    <w:uiPriority w:val="99"/>
    <w:rsid w:val="00021137"/>
    <w:pPr>
      <w:spacing w:after="0" w:line="240" w:lineRule="auto"/>
      <w:ind w:left="284" w:hanging="284"/>
      <w:jc w:val="both"/>
    </w:pPr>
    <w:rPr>
      <w:rFonts w:ascii="Arial" w:eastAsia="SimSun" w:hAnsi="Arial" w:cstheme="minorBidi"/>
    </w:rPr>
  </w:style>
  <w:style w:type="character" w:customStyle="1" w:styleId="apple-style-span">
    <w:name w:val="apple-style-span"/>
    <w:uiPriority w:val="99"/>
    <w:rsid w:val="00021137"/>
    <w:rPr>
      <w:rFonts w:ascii="Times New Roman" w:hAnsi="Times New Roman"/>
    </w:rPr>
  </w:style>
  <w:style w:type="paragraph" w:styleId="NormalWeb">
    <w:name w:val="Normal (Web)"/>
    <w:basedOn w:val="Normal"/>
    <w:uiPriority w:val="99"/>
    <w:unhideWhenUsed/>
    <w:rsid w:val="000471FE"/>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683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ADF"/>
    <w:rPr>
      <w:rFonts w:ascii="Calibri" w:eastAsia="Calibri" w:hAnsi="Calibri" w:cs="Times New Roman"/>
    </w:rPr>
  </w:style>
  <w:style w:type="paragraph" w:styleId="Footer">
    <w:name w:val="footer"/>
    <w:basedOn w:val="Normal"/>
    <w:link w:val="FooterChar"/>
    <w:uiPriority w:val="99"/>
    <w:unhideWhenUsed/>
    <w:rsid w:val="00683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A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32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284720/rs14text.pdf" TargetMode="External"/><Relationship Id="rId18" Type="http://schemas.openxmlformats.org/officeDocument/2006/relationships/hyperlink" Target="https://www.gov.uk/government/consultations/charities-act-2006-re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hinknpc.org/publications/caring-about-dying/" TargetMode="External"/><Relationship Id="rId7" Type="http://schemas.openxmlformats.org/officeDocument/2006/relationships/footnotes" Target="footnotes.xml"/><Relationship Id="rId12" Type="http://schemas.openxmlformats.org/officeDocument/2006/relationships/hyperlink" Target="http://www.charity-commission.gov.uk/library/guidance/sorp05text.pdf" TargetMode="External"/><Relationship Id="rId17" Type="http://schemas.openxmlformats.org/officeDocument/2006/relationships/hyperlink" Target="https://www.gov.uk/government/uploads/system/uploads/attachment_data/file/79275/Charities-Act-Review-2006-report-Hodgson.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elpthehospices.org.uk/%20%20accessed" TargetMode="External"/><Relationship Id="rId20" Type="http://schemas.openxmlformats.org/officeDocument/2006/relationships/hyperlink" Target="http://www.thinknpc.org/publications/charity-analysis-sue-ryd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k.coop/sites/storage/public/downloads/strat_data.pdf" TargetMode="External"/><Relationship Id="rId24" Type="http://schemas.openxmlformats.org/officeDocument/2006/relationships/hyperlink" Target="http://www.charitycommission.gov.uk/" TargetMode="External"/><Relationship Id="rId5" Type="http://schemas.openxmlformats.org/officeDocument/2006/relationships/settings" Target="settings.xml"/><Relationship Id="rId15" Type="http://schemas.openxmlformats.org/officeDocument/2006/relationships/hyperlink" Target="http://www.helpthehospices.org.uk/%20%20accessed" TargetMode="External"/><Relationship Id="rId23" Type="http://schemas.openxmlformats.org/officeDocument/2006/relationships/hyperlink" Target="http://www.thinknpc.org/publications/making-an-impact" TargetMode="External"/><Relationship Id="rId10" Type="http://schemas.openxmlformats.org/officeDocument/2006/relationships/chart" Target="charts/chart2.xml"/><Relationship Id="rId19" Type="http://schemas.openxmlformats.org/officeDocument/2006/relationships/hyperlink" Target="https://www.gov.uk/government/uploads/system/uploads/attachment_data/file/215107/dh_133105.pdf"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charitysorp.org/media/619101/frs102_complete.pdf" TargetMode="External"/><Relationship Id="rId22" Type="http://schemas.openxmlformats.org/officeDocument/2006/relationships/hyperlink" Target="http://www.ncvo-vol.org.uk/cuts-report"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735515699426461"/>
          <c:y val="3.0866359269839369E-2"/>
          <c:w val="0.46354172742296101"/>
          <c:h val="0.84286217098990868"/>
        </c:manualLayout>
      </c:layout>
      <c:doughnutChart>
        <c:varyColors val="1"/>
        <c:ser>
          <c:idx val="0"/>
          <c:order val="0"/>
          <c:tx>
            <c:strRef>
              <c:f>Sheet1!$B$1</c:f>
              <c:strCache>
                <c:ptCount val="1"/>
                <c:pt idx="0">
                  <c:v>Q1</c:v>
                </c:pt>
              </c:strCache>
            </c:strRef>
          </c:tx>
          <c:cat>
            <c:strRef>
              <c:f>Sheet1!$A$2:$A$15</c:f>
              <c:strCache>
                <c:ptCount val="9"/>
                <c:pt idx="0">
                  <c:v>service</c:v>
                </c:pt>
                <c:pt idx="1">
                  <c:v>finance</c:v>
                </c:pt>
                <c:pt idx="2">
                  <c:v>families</c:v>
                </c:pt>
                <c:pt idx="3">
                  <c:v>public sector</c:v>
                </c:pt>
                <c:pt idx="4">
                  <c:v>staff</c:v>
                </c:pt>
                <c:pt idx="5">
                  <c:v>volunteers</c:v>
                </c:pt>
                <c:pt idx="6">
                  <c:v>education</c:v>
                </c:pt>
                <c:pt idx="7">
                  <c:v>values</c:v>
                </c:pt>
                <c:pt idx="8">
                  <c:v> </c:v>
                </c:pt>
              </c:strCache>
            </c:strRef>
          </c:cat>
          <c:val>
            <c:numRef>
              <c:f>Sheet1!$B$2:$B$15</c:f>
              <c:numCache>
                <c:formatCode>General</c:formatCode>
                <c:ptCount val="14"/>
                <c:pt idx="0">
                  <c:v>148</c:v>
                </c:pt>
                <c:pt idx="1">
                  <c:v>19</c:v>
                </c:pt>
                <c:pt idx="2">
                  <c:v>93</c:v>
                </c:pt>
                <c:pt idx="3">
                  <c:v>25</c:v>
                </c:pt>
                <c:pt idx="4">
                  <c:v>20</c:v>
                </c:pt>
                <c:pt idx="5">
                  <c:v>20</c:v>
                </c:pt>
                <c:pt idx="6">
                  <c:v>44</c:v>
                </c:pt>
                <c:pt idx="7">
                  <c:v>51</c:v>
                </c:pt>
              </c:numCache>
            </c:numRef>
          </c:val>
        </c:ser>
        <c:ser>
          <c:idx val="1"/>
          <c:order val="1"/>
          <c:tx>
            <c:strRef>
              <c:f>Sheet1!$C$1</c:f>
              <c:strCache>
                <c:ptCount val="1"/>
                <c:pt idx="0">
                  <c:v>Q3a</c:v>
                </c:pt>
              </c:strCache>
            </c:strRef>
          </c:tx>
          <c:cat>
            <c:strRef>
              <c:f>Sheet1!$A$2:$A$15</c:f>
              <c:strCache>
                <c:ptCount val="9"/>
                <c:pt idx="0">
                  <c:v>service</c:v>
                </c:pt>
                <c:pt idx="1">
                  <c:v>finance</c:v>
                </c:pt>
                <c:pt idx="2">
                  <c:v>families</c:v>
                </c:pt>
                <c:pt idx="3">
                  <c:v>public sector</c:v>
                </c:pt>
                <c:pt idx="4">
                  <c:v>staff</c:v>
                </c:pt>
                <c:pt idx="5">
                  <c:v>volunteers</c:v>
                </c:pt>
                <c:pt idx="6">
                  <c:v>education</c:v>
                </c:pt>
                <c:pt idx="7">
                  <c:v>values</c:v>
                </c:pt>
                <c:pt idx="8">
                  <c:v> </c:v>
                </c:pt>
              </c:strCache>
            </c:strRef>
          </c:cat>
          <c:val>
            <c:numRef>
              <c:f>Sheet1!$C$2:$C$15</c:f>
              <c:numCache>
                <c:formatCode>General</c:formatCode>
                <c:ptCount val="14"/>
                <c:pt idx="0">
                  <c:v>146</c:v>
                </c:pt>
                <c:pt idx="1">
                  <c:v>109</c:v>
                </c:pt>
                <c:pt idx="2">
                  <c:v>58</c:v>
                </c:pt>
                <c:pt idx="3">
                  <c:v>63</c:v>
                </c:pt>
                <c:pt idx="4">
                  <c:v>42</c:v>
                </c:pt>
                <c:pt idx="5">
                  <c:v>34</c:v>
                </c:pt>
                <c:pt idx="6">
                  <c:v>54</c:v>
                </c:pt>
                <c:pt idx="8">
                  <c:v>0</c:v>
                </c:pt>
              </c:numCache>
            </c:numRef>
          </c:val>
        </c:ser>
        <c:ser>
          <c:idx val="2"/>
          <c:order val="2"/>
          <c:tx>
            <c:strRef>
              <c:f>Sheet1!$D$1</c:f>
              <c:strCache>
                <c:ptCount val="1"/>
                <c:pt idx="0">
                  <c:v>Q4</c:v>
                </c:pt>
              </c:strCache>
            </c:strRef>
          </c:tx>
          <c:cat>
            <c:strRef>
              <c:f>Sheet1!$A$2:$A$15</c:f>
              <c:strCache>
                <c:ptCount val="9"/>
                <c:pt idx="0">
                  <c:v>service</c:v>
                </c:pt>
                <c:pt idx="1">
                  <c:v>finance</c:v>
                </c:pt>
                <c:pt idx="2">
                  <c:v>families</c:v>
                </c:pt>
                <c:pt idx="3">
                  <c:v>public sector</c:v>
                </c:pt>
                <c:pt idx="4">
                  <c:v>staff</c:v>
                </c:pt>
                <c:pt idx="5">
                  <c:v>volunteers</c:v>
                </c:pt>
                <c:pt idx="6">
                  <c:v>education</c:v>
                </c:pt>
                <c:pt idx="7">
                  <c:v>values</c:v>
                </c:pt>
                <c:pt idx="8">
                  <c:v> </c:v>
                </c:pt>
              </c:strCache>
            </c:strRef>
          </c:cat>
          <c:val>
            <c:numRef>
              <c:f>Sheet1!$D$2:$D$15</c:f>
              <c:numCache>
                <c:formatCode>General</c:formatCode>
                <c:ptCount val="14"/>
                <c:pt idx="0">
                  <c:v>136</c:v>
                </c:pt>
                <c:pt idx="1">
                  <c:v>90</c:v>
                </c:pt>
                <c:pt idx="2">
                  <c:v>41</c:v>
                </c:pt>
                <c:pt idx="3">
                  <c:v>48</c:v>
                </c:pt>
                <c:pt idx="4">
                  <c:v>19</c:v>
                </c:pt>
                <c:pt idx="5">
                  <c:v>18</c:v>
                </c:pt>
                <c:pt idx="6">
                  <c:v>57</c:v>
                </c:pt>
                <c:pt idx="8">
                  <c:v>0</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txPr>
    <a:bodyPr/>
    <a:lstStyle/>
    <a:p>
      <a:pPr>
        <a:defRPr sz="1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Q1/Q3a match</c:v>
                </c:pt>
              </c:strCache>
            </c:strRef>
          </c:tx>
          <c:invertIfNegative val="0"/>
          <c:cat>
            <c:strRef>
              <c:f>Sheet1!$A$2:$A$8</c:f>
              <c:strCache>
                <c:ptCount val="7"/>
                <c:pt idx="0">
                  <c:v>Service</c:v>
                </c:pt>
                <c:pt idx="1">
                  <c:v>Finance</c:v>
                </c:pt>
                <c:pt idx="2">
                  <c:v>Families</c:v>
                </c:pt>
                <c:pt idx="3">
                  <c:v>Partnership</c:v>
                </c:pt>
                <c:pt idx="4">
                  <c:v>Staff</c:v>
                </c:pt>
                <c:pt idx="5">
                  <c:v>Volunteers</c:v>
                </c:pt>
                <c:pt idx="6">
                  <c:v>Education</c:v>
                </c:pt>
              </c:strCache>
            </c:strRef>
          </c:cat>
          <c:val>
            <c:numRef>
              <c:f>Sheet1!$B$2:$B$8</c:f>
              <c:numCache>
                <c:formatCode>General</c:formatCode>
                <c:ptCount val="7"/>
                <c:pt idx="0">
                  <c:v>146</c:v>
                </c:pt>
                <c:pt idx="1">
                  <c:v>11</c:v>
                </c:pt>
                <c:pt idx="2">
                  <c:v>42</c:v>
                </c:pt>
                <c:pt idx="3">
                  <c:v>14</c:v>
                </c:pt>
                <c:pt idx="4">
                  <c:v>7</c:v>
                </c:pt>
                <c:pt idx="5">
                  <c:v>7</c:v>
                </c:pt>
                <c:pt idx="6">
                  <c:v>24</c:v>
                </c:pt>
              </c:numCache>
            </c:numRef>
          </c:val>
        </c:ser>
        <c:ser>
          <c:idx val="1"/>
          <c:order val="1"/>
          <c:tx>
            <c:strRef>
              <c:f>Sheet1!$C$1</c:f>
              <c:strCache>
                <c:ptCount val="1"/>
                <c:pt idx="0">
                  <c:v>Q3a/Q4 match</c:v>
                </c:pt>
              </c:strCache>
            </c:strRef>
          </c:tx>
          <c:invertIfNegative val="0"/>
          <c:cat>
            <c:strRef>
              <c:f>Sheet1!$A$2:$A$8</c:f>
              <c:strCache>
                <c:ptCount val="7"/>
                <c:pt idx="0">
                  <c:v>Service</c:v>
                </c:pt>
                <c:pt idx="1">
                  <c:v>Finance</c:v>
                </c:pt>
                <c:pt idx="2">
                  <c:v>Families</c:v>
                </c:pt>
                <c:pt idx="3">
                  <c:v>Partnership</c:v>
                </c:pt>
                <c:pt idx="4">
                  <c:v>Staff</c:v>
                </c:pt>
                <c:pt idx="5">
                  <c:v>Volunteers</c:v>
                </c:pt>
                <c:pt idx="6">
                  <c:v>Education</c:v>
                </c:pt>
              </c:strCache>
            </c:strRef>
          </c:cat>
          <c:val>
            <c:numRef>
              <c:f>Sheet1!$C$2:$C$8</c:f>
              <c:numCache>
                <c:formatCode>General</c:formatCode>
                <c:ptCount val="7"/>
                <c:pt idx="0">
                  <c:v>136</c:v>
                </c:pt>
                <c:pt idx="1">
                  <c:v>70</c:v>
                </c:pt>
                <c:pt idx="2">
                  <c:v>21</c:v>
                </c:pt>
                <c:pt idx="3">
                  <c:v>28</c:v>
                </c:pt>
                <c:pt idx="4">
                  <c:v>12</c:v>
                </c:pt>
                <c:pt idx="5">
                  <c:v>10</c:v>
                </c:pt>
                <c:pt idx="6">
                  <c:v>24</c:v>
                </c:pt>
              </c:numCache>
            </c:numRef>
          </c:val>
        </c:ser>
        <c:ser>
          <c:idx val="2"/>
          <c:order val="2"/>
          <c:tx>
            <c:strRef>
              <c:f>Sheet1!$D$1</c:f>
              <c:strCache>
                <c:ptCount val="1"/>
                <c:pt idx="0">
                  <c:v>Q1/Q3a non-match</c:v>
                </c:pt>
              </c:strCache>
            </c:strRef>
          </c:tx>
          <c:invertIfNegative val="0"/>
          <c:cat>
            <c:strRef>
              <c:f>Sheet1!$A$2:$A$8</c:f>
              <c:strCache>
                <c:ptCount val="7"/>
                <c:pt idx="0">
                  <c:v>Service</c:v>
                </c:pt>
                <c:pt idx="1">
                  <c:v>Finance</c:v>
                </c:pt>
                <c:pt idx="2">
                  <c:v>Families</c:v>
                </c:pt>
                <c:pt idx="3">
                  <c:v>Partnership</c:v>
                </c:pt>
                <c:pt idx="4">
                  <c:v>Staff</c:v>
                </c:pt>
                <c:pt idx="5">
                  <c:v>Volunteers</c:v>
                </c:pt>
                <c:pt idx="6">
                  <c:v>Education</c:v>
                </c:pt>
              </c:strCache>
            </c:strRef>
          </c:cat>
          <c:val>
            <c:numRef>
              <c:f>Sheet1!$D$2:$D$8</c:f>
              <c:numCache>
                <c:formatCode>General</c:formatCode>
                <c:ptCount val="7"/>
                <c:pt idx="0">
                  <c:v>2</c:v>
                </c:pt>
                <c:pt idx="1">
                  <c:v>103</c:v>
                </c:pt>
                <c:pt idx="2">
                  <c:v>61</c:v>
                </c:pt>
                <c:pt idx="3">
                  <c:v>62</c:v>
                </c:pt>
                <c:pt idx="4">
                  <c:v>48</c:v>
                </c:pt>
                <c:pt idx="5">
                  <c:v>48</c:v>
                </c:pt>
                <c:pt idx="6">
                  <c:v>50</c:v>
                </c:pt>
              </c:numCache>
            </c:numRef>
          </c:val>
        </c:ser>
        <c:ser>
          <c:idx val="3"/>
          <c:order val="3"/>
          <c:tx>
            <c:strRef>
              <c:f>Sheet1!$E$1</c:f>
              <c:strCache>
                <c:ptCount val="1"/>
                <c:pt idx="0">
                  <c:v>Q3a/Q4 non-match</c:v>
                </c:pt>
              </c:strCache>
            </c:strRef>
          </c:tx>
          <c:invertIfNegative val="0"/>
          <c:cat>
            <c:strRef>
              <c:f>Sheet1!$A$2:$A$8</c:f>
              <c:strCache>
                <c:ptCount val="7"/>
                <c:pt idx="0">
                  <c:v>Service</c:v>
                </c:pt>
                <c:pt idx="1">
                  <c:v>Finance</c:v>
                </c:pt>
                <c:pt idx="2">
                  <c:v>Families</c:v>
                </c:pt>
                <c:pt idx="3">
                  <c:v>Partnership</c:v>
                </c:pt>
                <c:pt idx="4">
                  <c:v>Staff</c:v>
                </c:pt>
                <c:pt idx="5">
                  <c:v>Volunteers</c:v>
                </c:pt>
                <c:pt idx="6">
                  <c:v>Education</c:v>
                </c:pt>
              </c:strCache>
            </c:strRef>
          </c:cat>
          <c:val>
            <c:numRef>
              <c:f>Sheet1!$E$2:$E$8</c:f>
              <c:numCache>
                <c:formatCode>General</c:formatCode>
                <c:ptCount val="7"/>
                <c:pt idx="0">
                  <c:v>10</c:v>
                </c:pt>
                <c:pt idx="1">
                  <c:v>57</c:v>
                </c:pt>
                <c:pt idx="2">
                  <c:v>57</c:v>
                </c:pt>
                <c:pt idx="3">
                  <c:v>53</c:v>
                </c:pt>
                <c:pt idx="4">
                  <c:v>35</c:v>
                </c:pt>
                <c:pt idx="5">
                  <c:v>31</c:v>
                </c:pt>
                <c:pt idx="6">
                  <c:v>66</c:v>
                </c:pt>
              </c:numCache>
            </c:numRef>
          </c:val>
        </c:ser>
        <c:dLbls>
          <c:showLegendKey val="0"/>
          <c:showVal val="0"/>
          <c:showCatName val="0"/>
          <c:showSerName val="0"/>
          <c:showPercent val="0"/>
          <c:showBubbleSize val="0"/>
        </c:dLbls>
        <c:gapWidth val="150"/>
        <c:shape val="cylinder"/>
        <c:axId val="74617216"/>
        <c:axId val="74618752"/>
        <c:axId val="67268096"/>
      </c:bar3DChart>
      <c:catAx>
        <c:axId val="74617216"/>
        <c:scaling>
          <c:orientation val="minMax"/>
        </c:scaling>
        <c:delete val="0"/>
        <c:axPos val="b"/>
        <c:majorTickMark val="out"/>
        <c:minorTickMark val="none"/>
        <c:tickLblPos val="nextTo"/>
        <c:crossAx val="74618752"/>
        <c:crosses val="autoZero"/>
        <c:auto val="1"/>
        <c:lblAlgn val="ctr"/>
        <c:lblOffset val="100"/>
        <c:noMultiLvlLbl val="0"/>
      </c:catAx>
      <c:valAx>
        <c:axId val="74618752"/>
        <c:scaling>
          <c:orientation val="minMax"/>
        </c:scaling>
        <c:delete val="0"/>
        <c:axPos val="l"/>
        <c:majorGridlines/>
        <c:numFmt formatCode="General" sourceLinked="1"/>
        <c:majorTickMark val="out"/>
        <c:minorTickMark val="none"/>
        <c:tickLblPos val="nextTo"/>
        <c:crossAx val="74617216"/>
        <c:crosses val="autoZero"/>
        <c:crossBetween val="between"/>
      </c:valAx>
      <c:serAx>
        <c:axId val="67268096"/>
        <c:scaling>
          <c:orientation val="minMax"/>
        </c:scaling>
        <c:delete val="1"/>
        <c:axPos val="b"/>
        <c:majorTickMark val="out"/>
        <c:minorTickMark val="none"/>
        <c:tickLblPos val="nextTo"/>
        <c:crossAx val="74618752"/>
        <c:crosses val="autoZero"/>
      </c:serAx>
    </c:plotArea>
    <c:legend>
      <c:legendPos val="r"/>
      <c:overlay val="0"/>
    </c:legend>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80C65-DE50-461A-AA6D-F7A1563D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8803</Words>
  <Characters>50182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58868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Knowles</dc:creator>
  <cp:lastModifiedBy>Aston University</cp:lastModifiedBy>
  <cp:revision>2</cp:revision>
  <cp:lastPrinted>2015-02-25T11:32:00Z</cp:lastPrinted>
  <dcterms:created xsi:type="dcterms:W3CDTF">2015-09-08T11:24:00Z</dcterms:created>
  <dcterms:modified xsi:type="dcterms:W3CDTF">2015-09-08T11:24:00Z</dcterms:modified>
</cp:coreProperties>
</file>